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8D" w:rsidRDefault="001A3670" w:rsidP="00C21240">
      <w:pPr>
        <w:spacing w:line="360" w:lineRule="auto"/>
        <w:jc w:val="center"/>
        <w:rPr>
          <w:rFonts w:ascii="Times New Roman" w:hAnsi="Times New Roman" w:cs="Times New Roman"/>
          <w:b/>
          <w:sz w:val="24"/>
          <w:szCs w:val="24"/>
        </w:rPr>
      </w:pPr>
      <w:bookmarkStart w:id="0" w:name="_GoBack"/>
      <w:bookmarkEnd w:id="0"/>
      <w:r w:rsidRPr="001A3670">
        <w:rPr>
          <w:rFonts w:ascii="Times New Roman" w:hAnsi="Times New Roman" w:cs="Times New Roman"/>
          <w:b/>
          <w:sz w:val="24"/>
          <w:szCs w:val="24"/>
        </w:rPr>
        <w:t xml:space="preserve">The </w:t>
      </w:r>
      <w:r w:rsidR="0040468D">
        <w:rPr>
          <w:rFonts w:ascii="Times New Roman" w:hAnsi="Times New Roman" w:cs="Times New Roman"/>
          <w:b/>
          <w:sz w:val="24"/>
          <w:szCs w:val="24"/>
        </w:rPr>
        <w:t>UK’s Liability for Financial Obligations</w:t>
      </w:r>
    </w:p>
    <w:p w:rsidR="001A3670" w:rsidRPr="001A3670" w:rsidRDefault="0040468D" w:rsidP="00C212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Arising out of Its EU Membership</w:t>
      </w:r>
    </w:p>
    <w:p w:rsidR="001A3670" w:rsidRPr="001A3670" w:rsidRDefault="001A3670" w:rsidP="00C21240">
      <w:pPr>
        <w:spacing w:line="360" w:lineRule="auto"/>
        <w:jc w:val="center"/>
        <w:rPr>
          <w:rFonts w:ascii="Times New Roman" w:hAnsi="Times New Roman" w:cs="Times New Roman"/>
          <w:i/>
          <w:sz w:val="24"/>
          <w:szCs w:val="24"/>
        </w:rPr>
      </w:pPr>
      <w:r w:rsidRPr="001A3670">
        <w:rPr>
          <w:rFonts w:ascii="Times New Roman" w:hAnsi="Times New Roman" w:cs="Times New Roman"/>
          <w:i/>
          <w:sz w:val="24"/>
          <w:szCs w:val="24"/>
        </w:rPr>
        <w:t>Michael Waibel</w:t>
      </w:r>
    </w:p>
    <w:p w:rsidR="003A6678" w:rsidRDefault="003A6678" w:rsidP="00C21240">
      <w:pPr>
        <w:spacing w:line="360" w:lineRule="auto"/>
        <w:jc w:val="both"/>
        <w:rPr>
          <w:rFonts w:ascii="Times New Roman" w:hAnsi="Times New Roman" w:cs="Times New Roman"/>
          <w:sz w:val="24"/>
          <w:szCs w:val="24"/>
        </w:rPr>
      </w:pPr>
    </w:p>
    <w:p w:rsidR="009D5362" w:rsidRDefault="009D5362"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has been widely reported in the media, the House of Lords reached two main legal conclusions in its </w:t>
      </w:r>
      <w:r w:rsidR="00B55EA8">
        <w:rPr>
          <w:rFonts w:ascii="Times New Roman" w:hAnsi="Times New Roman" w:cs="Times New Roman"/>
          <w:sz w:val="24"/>
          <w:szCs w:val="24"/>
        </w:rPr>
        <w:t xml:space="preserve">March 2017 </w:t>
      </w:r>
      <w:r>
        <w:rPr>
          <w:rFonts w:ascii="Times New Roman" w:hAnsi="Times New Roman" w:cs="Times New Roman"/>
          <w:sz w:val="24"/>
          <w:szCs w:val="24"/>
        </w:rPr>
        <w:t>report on Brexit and the EU budget:</w:t>
      </w:r>
    </w:p>
    <w:p w:rsidR="009D5362" w:rsidRDefault="00B55EA8" w:rsidP="00C21240">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55EA8">
        <w:rPr>
          <w:rFonts w:ascii="Times New Roman" w:hAnsi="Times New Roman" w:cs="Times New Roman"/>
          <w:sz w:val="24"/>
          <w:szCs w:val="24"/>
        </w:rPr>
        <w:t>Article 50 TEU allows the UK to leave the EU without being liable for outstanding financial obligations under the EU budget and related financial instruments, unless a withdrawal agreement is concl</w:t>
      </w:r>
      <w:r>
        <w:rPr>
          <w:rFonts w:ascii="Times New Roman" w:hAnsi="Times New Roman" w:cs="Times New Roman"/>
          <w:sz w:val="24"/>
          <w:szCs w:val="24"/>
        </w:rPr>
        <w:t>uded which resolves this issue.” (para. 135).</w:t>
      </w:r>
    </w:p>
    <w:p w:rsidR="00B55EA8" w:rsidRDefault="00B55EA8" w:rsidP="00C21240">
      <w:pPr>
        <w:numPr>
          <w:ilvl w:val="0"/>
          <w:numId w:val="2"/>
        </w:numPr>
        <w:spacing w:line="360" w:lineRule="auto"/>
        <w:jc w:val="both"/>
        <w:rPr>
          <w:rFonts w:ascii="Times New Roman" w:hAnsi="Times New Roman" w:cs="Times New Roman"/>
          <w:sz w:val="24"/>
          <w:szCs w:val="24"/>
        </w:rPr>
      </w:pPr>
      <w:r w:rsidRPr="00B55EA8">
        <w:rPr>
          <w:rFonts w:ascii="Times New Roman" w:hAnsi="Times New Roman" w:cs="Times New Roman"/>
          <w:sz w:val="24"/>
          <w:szCs w:val="24"/>
        </w:rPr>
        <w:t>“The jurisdiction of the CJEU over the UK would also come to an end when the EU Treaties ceased to have effect. Outstanding payments could not, therefore, be enforced against the UK in the CJEU.</w:t>
      </w:r>
      <w:r>
        <w:rPr>
          <w:rFonts w:ascii="Times New Roman" w:hAnsi="Times New Roman" w:cs="Times New Roman"/>
          <w:sz w:val="24"/>
          <w:szCs w:val="24"/>
        </w:rPr>
        <w:t xml:space="preserve">” (para. </w:t>
      </w:r>
      <w:r w:rsidR="001A3670">
        <w:rPr>
          <w:rFonts w:ascii="Times New Roman" w:hAnsi="Times New Roman" w:cs="Times New Roman"/>
          <w:sz w:val="24"/>
          <w:szCs w:val="24"/>
        </w:rPr>
        <w:t>133).</w:t>
      </w:r>
    </w:p>
    <w:p w:rsidR="00014FB9" w:rsidRDefault="00014FB9"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two conclusions </w:t>
      </w:r>
      <w:r w:rsidR="003B6C40">
        <w:rPr>
          <w:rFonts w:ascii="Times New Roman" w:hAnsi="Times New Roman" w:cs="Times New Roman"/>
          <w:sz w:val="24"/>
          <w:szCs w:val="24"/>
        </w:rPr>
        <w:t>undercut the EU Commission’s</w:t>
      </w:r>
      <w:r>
        <w:rPr>
          <w:rFonts w:ascii="Times New Roman" w:hAnsi="Times New Roman" w:cs="Times New Roman"/>
          <w:sz w:val="24"/>
          <w:szCs w:val="24"/>
        </w:rPr>
        <w:t xml:space="preserve"> </w:t>
      </w:r>
      <w:r w:rsidR="00FC6121">
        <w:rPr>
          <w:rFonts w:ascii="Times New Roman" w:hAnsi="Times New Roman" w:cs="Times New Roman"/>
          <w:sz w:val="24"/>
          <w:szCs w:val="24"/>
        </w:rPr>
        <w:t xml:space="preserve">claim that the UK owes </w:t>
      </w:r>
      <w:r>
        <w:rPr>
          <w:rFonts w:ascii="Times New Roman" w:hAnsi="Times New Roman" w:cs="Times New Roman"/>
          <w:sz w:val="24"/>
          <w:szCs w:val="24"/>
        </w:rPr>
        <w:t>around €60 billion as a result of its</w:t>
      </w:r>
      <w:r w:rsidR="00D503BD">
        <w:rPr>
          <w:rFonts w:ascii="Times New Roman" w:hAnsi="Times New Roman" w:cs="Times New Roman"/>
          <w:sz w:val="24"/>
          <w:szCs w:val="24"/>
        </w:rPr>
        <w:t xml:space="preserve"> EU</w:t>
      </w:r>
      <w:r>
        <w:rPr>
          <w:rFonts w:ascii="Times New Roman" w:hAnsi="Times New Roman" w:cs="Times New Roman"/>
          <w:sz w:val="24"/>
          <w:szCs w:val="24"/>
        </w:rPr>
        <w:t xml:space="preserve"> membership </w:t>
      </w:r>
      <w:r w:rsidR="00D503BD">
        <w:rPr>
          <w:rFonts w:ascii="Times New Roman" w:hAnsi="Times New Roman" w:cs="Times New Roman"/>
          <w:sz w:val="24"/>
          <w:szCs w:val="24"/>
        </w:rPr>
        <w:t>since 1973</w:t>
      </w:r>
      <w:r>
        <w:rPr>
          <w:rFonts w:ascii="Times New Roman" w:hAnsi="Times New Roman" w:cs="Times New Roman"/>
          <w:sz w:val="24"/>
          <w:szCs w:val="24"/>
        </w:rPr>
        <w:t>. The House of Lords rightly noted the</w:t>
      </w:r>
      <w:r w:rsidR="00587FAF">
        <w:rPr>
          <w:rFonts w:ascii="Times New Roman" w:hAnsi="Times New Roman" w:cs="Times New Roman"/>
          <w:sz w:val="24"/>
          <w:szCs w:val="24"/>
        </w:rPr>
        <w:t xml:space="preserve"> considerable uncertainty about</w:t>
      </w:r>
      <w:r>
        <w:rPr>
          <w:rFonts w:ascii="Times New Roman" w:hAnsi="Times New Roman" w:cs="Times New Roman"/>
          <w:sz w:val="24"/>
          <w:szCs w:val="24"/>
        </w:rPr>
        <w:t xml:space="preserve"> this figure, and </w:t>
      </w:r>
      <w:r w:rsidR="00587FAF">
        <w:rPr>
          <w:rFonts w:ascii="Times New Roman" w:hAnsi="Times New Roman" w:cs="Times New Roman"/>
          <w:sz w:val="24"/>
          <w:szCs w:val="24"/>
        </w:rPr>
        <w:t xml:space="preserve">about </w:t>
      </w:r>
      <w:r>
        <w:rPr>
          <w:rFonts w:ascii="Times New Roman" w:hAnsi="Times New Roman" w:cs="Times New Roman"/>
          <w:sz w:val="24"/>
          <w:szCs w:val="24"/>
        </w:rPr>
        <w:t>th</w:t>
      </w:r>
      <w:r w:rsidR="00587FAF">
        <w:rPr>
          <w:rFonts w:ascii="Times New Roman" w:hAnsi="Times New Roman" w:cs="Times New Roman"/>
          <w:sz w:val="24"/>
          <w:szCs w:val="24"/>
        </w:rPr>
        <w:t>e calculation of the UK’s share.</w:t>
      </w:r>
      <w:r>
        <w:rPr>
          <w:rFonts w:ascii="Times New Roman" w:hAnsi="Times New Roman" w:cs="Times New Roman"/>
          <w:sz w:val="24"/>
          <w:szCs w:val="24"/>
        </w:rPr>
        <w:t xml:space="preserve"> Like other aspects of their pa</w:t>
      </w:r>
      <w:r w:rsidR="00587FAF">
        <w:rPr>
          <w:rFonts w:ascii="Times New Roman" w:hAnsi="Times New Roman" w:cs="Times New Roman"/>
          <w:sz w:val="24"/>
          <w:szCs w:val="24"/>
        </w:rPr>
        <w:t xml:space="preserve">st and future relationship, the UK’s financial obligations </w:t>
      </w:r>
      <w:r w:rsidR="00D503BD">
        <w:rPr>
          <w:rFonts w:ascii="Times New Roman" w:hAnsi="Times New Roman" w:cs="Times New Roman"/>
          <w:sz w:val="24"/>
          <w:szCs w:val="24"/>
        </w:rPr>
        <w:t>are primarily</w:t>
      </w:r>
      <w:r w:rsidR="00587FAF">
        <w:rPr>
          <w:rFonts w:ascii="Times New Roman" w:hAnsi="Times New Roman" w:cs="Times New Roman"/>
          <w:sz w:val="24"/>
          <w:szCs w:val="24"/>
        </w:rPr>
        <w:t xml:space="preserve"> </w:t>
      </w:r>
      <w:r>
        <w:rPr>
          <w:rFonts w:ascii="Times New Roman" w:hAnsi="Times New Roman" w:cs="Times New Roman"/>
          <w:sz w:val="24"/>
          <w:szCs w:val="24"/>
        </w:rPr>
        <w:t xml:space="preserve">a matter for negotiations between the EU27 and the UK. </w:t>
      </w:r>
    </w:p>
    <w:p w:rsidR="00587FAF" w:rsidRDefault="00014FB9"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00587FAF">
        <w:rPr>
          <w:rFonts w:ascii="Times New Roman" w:hAnsi="Times New Roman" w:cs="Times New Roman"/>
          <w:sz w:val="24"/>
          <w:szCs w:val="24"/>
        </w:rPr>
        <w:t xml:space="preserve">in case agreement between the EU 27 and the UK is elusive on this point, the legal position matters. </w:t>
      </w:r>
      <w:r w:rsidR="00D503BD">
        <w:rPr>
          <w:rFonts w:ascii="Times New Roman" w:hAnsi="Times New Roman" w:cs="Times New Roman"/>
          <w:sz w:val="24"/>
          <w:szCs w:val="24"/>
        </w:rPr>
        <w:t xml:space="preserve">The EU 27 and the UK will also bargain about the UK’s financial obligations in the shadow of </w:t>
      </w:r>
      <w:r w:rsidR="00D75779">
        <w:rPr>
          <w:rFonts w:ascii="Times New Roman" w:hAnsi="Times New Roman" w:cs="Times New Roman"/>
          <w:sz w:val="24"/>
          <w:szCs w:val="24"/>
        </w:rPr>
        <w:t>the UK’s legal obligations.</w:t>
      </w:r>
    </w:p>
    <w:p w:rsidR="001A3670" w:rsidRDefault="00587FAF"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14FB9">
        <w:rPr>
          <w:rFonts w:ascii="Times New Roman" w:hAnsi="Times New Roman" w:cs="Times New Roman"/>
          <w:sz w:val="24"/>
          <w:szCs w:val="24"/>
        </w:rPr>
        <w:t>his</w:t>
      </w:r>
      <w:r>
        <w:rPr>
          <w:rFonts w:ascii="Times New Roman" w:hAnsi="Times New Roman" w:cs="Times New Roman"/>
          <w:sz w:val="24"/>
          <w:szCs w:val="24"/>
        </w:rPr>
        <w:t xml:space="preserve"> blog</w:t>
      </w:r>
      <w:r w:rsidR="00014FB9">
        <w:rPr>
          <w:rFonts w:ascii="Times New Roman" w:hAnsi="Times New Roman" w:cs="Times New Roman"/>
          <w:sz w:val="24"/>
          <w:szCs w:val="24"/>
        </w:rPr>
        <w:t xml:space="preserve"> post shows that both conclusions of the House of Lords are likely erroneous. </w:t>
      </w:r>
      <w:r>
        <w:rPr>
          <w:rFonts w:ascii="Times New Roman" w:hAnsi="Times New Roman" w:cs="Times New Roman"/>
          <w:sz w:val="24"/>
          <w:szCs w:val="24"/>
        </w:rPr>
        <w:t xml:space="preserve">It argues </w:t>
      </w:r>
      <w:r w:rsidR="00731794">
        <w:rPr>
          <w:rFonts w:ascii="Times New Roman" w:hAnsi="Times New Roman" w:cs="Times New Roman"/>
          <w:sz w:val="24"/>
          <w:szCs w:val="24"/>
        </w:rPr>
        <w:t xml:space="preserve">first </w:t>
      </w:r>
      <w:r>
        <w:rPr>
          <w:rFonts w:ascii="Times New Roman" w:hAnsi="Times New Roman" w:cs="Times New Roman"/>
          <w:sz w:val="24"/>
          <w:szCs w:val="24"/>
        </w:rPr>
        <w:t>that</w:t>
      </w:r>
      <w:r w:rsidR="00FC612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014FB9">
        <w:rPr>
          <w:rFonts w:ascii="Times New Roman" w:hAnsi="Times New Roman" w:cs="Times New Roman"/>
          <w:sz w:val="24"/>
          <w:szCs w:val="24"/>
        </w:rPr>
        <w:t xml:space="preserve">UK is liable in principle for a share of </w:t>
      </w:r>
      <w:r>
        <w:rPr>
          <w:rFonts w:ascii="Times New Roman" w:hAnsi="Times New Roman" w:cs="Times New Roman"/>
          <w:sz w:val="24"/>
          <w:szCs w:val="24"/>
        </w:rPr>
        <w:t xml:space="preserve">the EU’s </w:t>
      </w:r>
      <w:r w:rsidR="00014FB9">
        <w:rPr>
          <w:rFonts w:ascii="Times New Roman" w:hAnsi="Times New Roman" w:cs="Times New Roman"/>
          <w:sz w:val="24"/>
          <w:szCs w:val="24"/>
        </w:rPr>
        <w:t xml:space="preserve">budget commitments </w:t>
      </w:r>
      <w:r>
        <w:rPr>
          <w:rFonts w:ascii="Times New Roman" w:hAnsi="Times New Roman" w:cs="Times New Roman"/>
          <w:sz w:val="24"/>
          <w:szCs w:val="24"/>
        </w:rPr>
        <w:t>and</w:t>
      </w:r>
      <w:r w:rsidR="00014FB9">
        <w:rPr>
          <w:rFonts w:ascii="Times New Roman" w:hAnsi="Times New Roman" w:cs="Times New Roman"/>
          <w:sz w:val="24"/>
          <w:szCs w:val="24"/>
        </w:rPr>
        <w:t xml:space="preserve"> pensions of EU offic</w:t>
      </w:r>
      <w:r>
        <w:rPr>
          <w:rFonts w:ascii="Times New Roman" w:hAnsi="Times New Roman" w:cs="Times New Roman"/>
          <w:sz w:val="24"/>
          <w:szCs w:val="24"/>
        </w:rPr>
        <w:t xml:space="preserve">ials. </w:t>
      </w:r>
      <w:r w:rsidR="00731794">
        <w:rPr>
          <w:rFonts w:ascii="Times New Roman" w:hAnsi="Times New Roman" w:cs="Times New Roman"/>
          <w:sz w:val="24"/>
          <w:szCs w:val="24"/>
        </w:rPr>
        <w:t xml:space="preserve">Second, </w:t>
      </w:r>
      <w:r w:rsidR="00014FB9">
        <w:rPr>
          <w:rFonts w:ascii="Times New Roman" w:hAnsi="Times New Roman" w:cs="Times New Roman"/>
          <w:sz w:val="24"/>
          <w:szCs w:val="24"/>
        </w:rPr>
        <w:t xml:space="preserve">the </w:t>
      </w:r>
      <w:r w:rsidR="00FC6121">
        <w:rPr>
          <w:rFonts w:ascii="Times New Roman" w:hAnsi="Times New Roman" w:cs="Times New Roman"/>
          <w:sz w:val="24"/>
          <w:szCs w:val="24"/>
        </w:rPr>
        <w:t xml:space="preserve">European </w:t>
      </w:r>
      <w:r w:rsidR="00014FB9">
        <w:rPr>
          <w:rFonts w:ascii="Times New Roman" w:hAnsi="Times New Roman" w:cs="Times New Roman"/>
          <w:sz w:val="24"/>
          <w:szCs w:val="24"/>
        </w:rPr>
        <w:t xml:space="preserve">Court of Justice </w:t>
      </w:r>
      <w:r>
        <w:rPr>
          <w:rFonts w:ascii="Times New Roman" w:hAnsi="Times New Roman" w:cs="Times New Roman"/>
          <w:sz w:val="24"/>
          <w:szCs w:val="24"/>
        </w:rPr>
        <w:t>may well have</w:t>
      </w:r>
      <w:r w:rsidR="00014FB9">
        <w:rPr>
          <w:rFonts w:ascii="Times New Roman" w:hAnsi="Times New Roman" w:cs="Times New Roman"/>
          <w:sz w:val="24"/>
          <w:szCs w:val="24"/>
        </w:rPr>
        <w:t xml:space="preserve"> jurisdiction over the UK’s financial obligations </w:t>
      </w:r>
      <w:r w:rsidR="00731794">
        <w:rPr>
          <w:rFonts w:ascii="Times New Roman" w:hAnsi="Times New Roman" w:cs="Times New Roman"/>
          <w:sz w:val="24"/>
          <w:szCs w:val="24"/>
        </w:rPr>
        <w:t>arising out of its membership in the EU</w:t>
      </w:r>
      <w:r w:rsidR="00014FB9">
        <w:rPr>
          <w:rFonts w:ascii="Times New Roman" w:hAnsi="Times New Roman" w:cs="Times New Roman"/>
          <w:sz w:val="24"/>
          <w:szCs w:val="24"/>
        </w:rPr>
        <w:t xml:space="preserve">. </w:t>
      </w:r>
      <w:r w:rsidR="00B77B99">
        <w:rPr>
          <w:rFonts w:ascii="Times New Roman" w:hAnsi="Times New Roman" w:cs="Times New Roman"/>
          <w:sz w:val="24"/>
          <w:szCs w:val="24"/>
        </w:rPr>
        <w:t>It first considers the UK’s liability, and then the jurisdiction of the Court of Justice.</w:t>
      </w:r>
    </w:p>
    <w:p w:rsidR="00B77B99" w:rsidRDefault="00B77B99" w:rsidP="00C21240">
      <w:pPr>
        <w:spacing w:line="360" w:lineRule="auto"/>
        <w:jc w:val="both"/>
        <w:rPr>
          <w:rFonts w:ascii="Times New Roman" w:hAnsi="Times New Roman" w:cs="Times New Roman"/>
          <w:b/>
          <w:sz w:val="24"/>
          <w:szCs w:val="24"/>
        </w:rPr>
      </w:pPr>
    </w:p>
    <w:p w:rsidR="00B55EA8" w:rsidRPr="00B55EA8" w:rsidRDefault="00B55EA8" w:rsidP="00C21240">
      <w:pPr>
        <w:spacing w:line="360" w:lineRule="auto"/>
        <w:jc w:val="both"/>
        <w:rPr>
          <w:rFonts w:ascii="Times New Roman" w:hAnsi="Times New Roman" w:cs="Times New Roman"/>
          <w:b/>
          <w:sz w:val="24"/>
          <w:szCs w:val="24"/>
        </w:rPr>
      </w:pPr>
      <w:r w:rsidRPr="00B55EA8">
        <w:rPr>
          <w:rFonts w:ascii="Times New Roman" w:hAnsi="Times New Roman" w:cs="Times New Roman"/>
          <w:b/>
          <w:sz w:val="24"/>
          <w:szCs w:val="24"/>
        </w:rPr>
        <w:t xml:space="preserve">The UK’s liability in principle </w:t>
      </w:r>
    </w:p>
    <w:p w:rsidR="006C52EB" w:rsidRDefault="006C52EB"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House of Lords relies on Article 50 TEU for its conclusion that the UK is not liable for financial obligations arising out of the UK’s EU membership. </w:t>
      </w:r>
      <w:r w:rsidR="00133B95">
        <w:rPr>
          <w:rFonts w:ascii="Times New Roman" w:hAnsi="Times New Roman" w:cs="Times New Roman"/>
          <w:sz w:val="24"/>
          <w:szCs w:val="24"/>
        </w:rPr>
        <w:t>Article 50 provides</w:t>
      </w:r>
    </w:p>
    <w:p w:rsidR="00133B95" w:rsidRPr="006C52EB" w:rsidRDefault="00133B95" w:rsidP="00FC6121">
      <w:pPr>
        <w:numPr>
          <w:ilvl w:val="0"/>
          <w:numId w:val="4"/>
        </w:numPr>
        <w:tabs>
          <w:tab w:val="clear" w:pos="1080"/>
        </w:tabs>
        <w:spacing w:line="360" w:lineRule="auto"/>
        <w:jc w:val="both"/>
        <w:rPr>
          <w:rFonts w:ascii="Times New Roman" w:hAnsi="Times New Roman" w:cs="Times New Roman"/>
          <w:sz w:val="24"/>
          <w:szCs w:val="24"/>
          <w:lang w:val="en-US"/>
        </w:rPr>
      </w:pPr>
      <w:r w:rsidRPr="006C52EB">
        <w:rPr>
          <w:rFonts w:ascii="Times New Roman" w:hAnsi="Times New Roman" w:cs="Times New Roman"/>
          <w:sz w:val="24"/>
          <w:szCs w:val="24"/>
        </w:rPr>
        <w:t>Any Member State may decide to withdraw from the Union in accordance with its own constitutional requirements.</w:t>
      </w:r>
    </w:p>
    <w:p w:rsidR="00133B95" w:rsidRDefault="00133B95" w:rsidP="00FC6121">
      <w:pPr>
        <w:spacing w:line="360" w:lineRule="auto"/>
        <w:ind w:left="1080" w:hanging="371"/>
        <w:jc w:val="both"/>
        <w:rPr>
          <w:rFonts w:ascii="Times New Roman" w:hAnsi="Times New Roman" w:cs="Times New Roman"/>
          <w:sz w:val="24"/>
          <w:szCs w:val="24"/>
        </w:rPr>
      </w:pPr>
      <w:r w:rsidRPr="006C52EB">
        <w:rPr>
          <w:rFonts w:ascii="Times New Roman" w:hAnsi="Times New Roman" w:cs="Times New Roman"/>
          <w:sz w:val="24"/>
          <w:szCs w:val="24"/>
        </w:rPr>
        <w:t xml:space="preserve">2. </w:t>
      </w:r>
      <w:r w:rsidR="00FC6121">
        <w:rPr>
          <w:rFonts w:ascii="Times New Roman" w:hAnsi="Times New Roman" w:cs="Times New Roman"/>
          <w:sz w:val="24"/>
          <w:szCs w:val="24"/>
        </w:rPr>
        <w:tab/>
      </w:r>
      <w:r w:rsidRPr="006C52EB">
        <w:rPr>
          <w:rFonts w:ascii="Times New Roman" w:hAnsi="Times New Roman" w:cs="Times New Roman"/>
          <w:sz w:val="24"/>
          <w:szCs w:val="24"/>
        </w:rPr>
        <w:t>A Member State which decides to withdraw shall notify the European Council of its intention. In the light of the guidelines provided by the European Council, the Union shall negotiate and conclude an agreement with that State, setting out the arrangements for its withdrawal, taking account of the framework for its future relationship with the Union. That agreement shall be negotiated in accordance with Article 218(3) of the Treaty on the Functioning of the European Union. It shall be concluded on behalf of the Union by the Council, acting by a qualified majority, after obtaining the consent of the European Parliament.</w:t>
      </w:r>
    </w:p>
    <w:p w:rsidR="00133B95" w:rsidRPr="006C52EB" w:rsidRDefault="00133B95" w:rsidP="00FC6121">
      <w:pPr>
        <w:spacing w:line="360" w:lineRule="auto"/>
        <w:ind w:left="1080" w:hanging="425"/>
        <w:jc w:val="both"/>
        <w:rPr>
          <w:rFonts w:ascii="Times New Roman" w:hAnsi="Times New Roman" w:cs="Times New Roman"/>
          <w:sz w:val="24"/>
          <w:szCs w:val="24"/>
          <w:lang w:val="en-US"/>
        </w:rPr>
      </w:pPr>
      <w:r w:rsidRPr="006C52EB">
        <w:rPr>
          <w:rFonts w:ascii="Times New Roman" w:hAnsi="Times New Roman" w:cs="Times New Roman"/>
          <w:sz w:val="24"/>
          <w:szCs w:val="24"/>
        </w:rPr>
        <w:t xml:space="preserve">3. </w:t>
      </w:r>
      <w:r w:rsidR="00FC6121">
        <w:rPr>
          <w:rFonts w:ascii="Times New Roman" w:hAnsi="Times New Roman" w:cs="Times New Roman"/>
          <w:sz w:val="24"/>
          <w:szCs w:val="24"/>
        </w:rPr>
        <w:tab/>
      </w:r>
      <w:r w:rsidRPr="006C52EB">
        <w:rPr>
          <w:rFonts w:ascii="Times New Roman" w:hAnsi="Times New Roman" w:cs="Times New Roman"/>
          <w:sz w:val="24"/>
          <w:szCs w:val="24"/>
        </w:rPr>
        <w:t>The Treaties shall cease to apply to the State in question from the date of entry into force of the withdrawal agreement or, failing that, two years after the notification referred to in paragraph 2, unless the European Council, in agreement with the Member State concerned, unanimously decides to extend this period.</w:t>
      </w:r>
    </w:p>
    <w:p w:rsidR="006C52EB" w:rsidRDefault="006C52EB" w:rsidP="00C21240">
      <w:pPr>
        <w:spacing w:line="360" w:lineRule="auto"/>
        <w:jc w:val="both"/>
        <w:rPr>
          <w:rFonts w:ascii="Times New Roman" w:hAnsi="Times New Roman" w:cs="Times New Roman"/>
          <w:sz w:val="24"/>
          <w:szCs w:val="24"/>
        </w:rPr>
      </w:pPr>
      <w:r w:rsidRPr="006C52EB">
        <w:rPr>
          <w:rFonts w:ascii="Times New Roman" w:hAnsi="Times New Roman" w:cs="Times New Roman"/>
          <w:sz w:val="24"/>
          <w:szCs w:val="24"/>
        </w:rPr>
        <w:t xml:space="preserve">Article 50 TEU </w:t>
      </w:r>
      <w:r>
        <w:rPr>
          <w:rFonts w:ascii="Times New Roman" w:hAnsi="Times New Roman" w:cs="Times New Roman"/>
          <w:sz w:val="24"/>
          <w:szCs w:val="24"/>
        </w:rPr>
        <w:t>is an</w:t>
      </w:r>
      <w:r w:rsidR="00432382">
        <w:rPr>
          <w:rFonts w:ascii="Times New Roman" w:hAnsi="Times New Roman" w:cs="Times New Roman"/>
          <w:sz w:val="24"/>
          <w:szCs w:val="24"/>
        </w:rPr>
        <w:t xml:space="preserve"> example of a withdrawal clause</w:t>
      </w:r>
      <w:r w:rsidR="00FC6121">
        <w:rPr>
          <w:rFonts w:ascii="Times New Roman" w:hAnsi="Times New Roman" w:cs="Times New Roman"/>
          <w:sz w:val="24"/>
          <w:szCs w:val="24"/>
        </w:rPr>
        <w:t xml:space="preserve">. Such clauses are </w:t>
      </w:r>
      <w:r w:rsidR="00432382">
        <w:rPr>
          <w:rFonts w:ascii="Times New Roman" w:hAnsi="Times New Roman" w:cs="Times New Roman"/>
          <w:sz w:val="24"/>
          <w:szCs w:val="24"/>
        </w:rPr>
        <w:t>found in many treaties.</w:t>
      </w:r>
      <w:r>
        <w:rPr>
          <w:rFonts w:ascii="Times New Roman" w:hAnsi="Times New Roman" w:cs="Times New Roman"/>
          <w:sz w:val="24"/>
          <w:szCs w:val="24"/>
        </w:rPr>
        <w:t xml:space="preserve"> Withdrawal clauses </w:t>
      </w:r>
      <w:r w:rsidRPr="006C52EB">
        <w:rPr>
          <w:rFonts w:ascii="Times New Roman" w:hAnsi="Times New Roman" w:cs="Times New Roman"/>
          <w:sz w:val="24"/>
          <w:szCs w:val="24"/>
        </w:rPr>
        <w:t>allow state</w:t>
      </w:r>
      <w:r w:rsidR="00432382">
        <w:rPr>
          <w:rFonts w:ascii="Times New Roman" w:hAnsi="Times New Roman" w:cs="Times New Roman"/>
          <w:sz w:val="24"/>
          <w:szCs w:val="24"/>
        </w:rPr>
        <w:t>s</w:t>
      </w:r>
      <w:r w:rsidRPr="006C52EB">
        <w:rPr>
          <w:rFonts w:ascii="Times New Roman" w:hAnsi="Times New Roman" w:cs="Times New Roman"/>
          <w:sz w:val="24"/>
          <w:szCs w:val="24"/>
        </w:rPr>
        <w:t xml:space="preserve"> to evolve from a party to a non-party without breaching the treaty. </w:t>
      </w:r>
      <w:r w:rsidR="00432382">
        <w:rPr>
          <w:rFonts w:ascii="Times New Roman" w:hAnsi="Times New Roman" w:cs="Times New Roman"/>
          <w:sz w:val="24"/>
          <w:szCs w:val="24"/>
        </w:rPr>
        <w:t xml:space="preserve">They allow a unilateral, voluntary departure from the treaty. </w:t>
      </w:r>
      <w:r w:rsidRPr="006C52EB">
        <w:rPr>
          <w:rFonts w:ascii="Times New Roman" w:hAnsi="Times New Roman" w:cs="Times New Roman"/>
          <w:sz w:val="24"/>
          <w:szCs w:val="24"/>
        </w:rPr>
        <w:t>Upon withdrawal, the treaty is no longer binding on the withdrawing party. It brings treaty</w:t>
      </w:r>
      <w:r>
        <w:rPr>
          <w:rFonts w:ascii="Times New Roman" w:hAnsi="Times New Roman" w:cs="Times New Roman"/>
          <w:sz w:val="24"/>
          <w:szCs w:val="24"/>
        </w:rPr>
        <w:t xml:space="preserve"> relationships</w:t>
      </w:r>
      <w:r w:rsidRPr="006C52EB">
        <w:rPr>
          <w:rFonts w:ascii="Times New Roman" w:hAnsi="Times New Roman" w:cs="Times New Roman"/>
          <w:sz w:val="24"/>
          <w:szCs w:val="24"/>
        </w:rPr>
        <w:t xml:space="preserve"> to an end.</w:t>
      </w:r>
    </w:p>
    <w:p w:rsidR="00DF488F" w:rsidRDefault="00DF488F"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House of Lords’ report takes the view that Article 50 contracts out of </w:t>
      </w:r>
      <w:r w:rsidR="00DF689B">
        <w:rPr>
          <w:rFonts w:ascii="Times New Roman" w:hAnsi="Times New Roman" w:cs="Times New Roman"/>
          <w:sz w:val="24"/>
          <w:szCs w:val="24"/>
        </w:rPr>
        <w:t xml:space="preserve">customary </w:t>
      </w:r>
      <w:r>
        <w:rPr>
          <w:rFonts w:ascii="Times New Roman" w:hAnsi="Times New Roman" w:cs="Times New Roman"/>
          <w:sz w:val="24"/>
          <w:szCs w:val="24"/>
        </w:rPr>
        <w:t xml:space="preserve">international law </w:t>
      </w:r>
      <w:r w:rsidR="00DF689B">
        <w:rPr>
          <w:rFonts w:ascii="Times New Roman" w:hAnsi="Times New Roman" w:cs="Times New Roman"/>
          <w:sz w:val="24"/>
          <w:szCs w:val="24"/>
        </w:rPr>
        <w:t xml:space="preserve">on withdrawal </w:t>
      </w:r>
      <w:r>
        <w:rPr>
          <w:rFonts w:ascii="Times New Roman" w:hAnsi="Times New Roman" w:cs="Times New Roman"/>
          <w:sz w:val="24"/>
          <w:szCs w:val="24"/>
        </w:rPr>
        <w:t>(the report refers specifically to Article 70 of the Vienna Convention on the Law of Treaties, ‘VCLT’). Articles 70 (1)</w:t>
      </w:r>
      <w:r w:rsidR="00DF689B">
        <w:rPr>
          <w:rFonts w:ascii="Times New Roman" w:hAnsi="Times New Roman" w:cs="Times New Roman"/>
          <w:sz w:val="24"/>
          <w:szCs w:val="24"/>
        </w:rPr>
        <w:t>, which is customary international law,</w:t>
      </w:r>
      <w:r>
        <w:rPr>
          <w:rFonts w:ascii="Times New Roman" w:hAnsi="Times New Roman" w:cs="Times New Roman"/>
          <w:sz w:val="24"/>
          <w:szCs w:val="24"/>
        </w:rPr>
        <w:t xml:space="preserve"> provides </w:t>
      </w:r>
    </w:p>
    <w:p w:rsidR="00DF488F" w:rsidRPr="00DF488F" w:rsidRDefault="00DF488F"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F488F">
        <w:rPr>
          <w:rFonts w:ascii="Times New Roman" w:hAnsi="Times New Roman" w:cs="Times New Roman"/>
          <w:sz w:val="24"/>
          <w:szCs w:val="24"/>
        </w:rPr>
        <w:t>Unless the treaty otherwise provides or the parties otherwise agree, the termination of a</w:t>
      </w:r>
      <w:r>
        <w:rPr>
          <w:rFonts w:ascii="Times New Roman" w:hAnsi="Times New Roman" w:cs="Times New Roman"/>
          <w:sz w:val="24"/>
          <w:szCs w:val="24"/>
        </w:rPr>
        <w:tab/>
        <w:t>t</w:t>
      </w:r>
      <w:r w:rsidRPr="00DF488F">
        <w:rPr>
          <w:rFonts w:ascii="Times New Roman" w:hAnsi="Times New Roman" w:cs="Times New Roman"/>
          <w:sz w:val="24"/>
          <w:szCs w:val="24"/>
        </w:rPr>
        <w:t>reaty under its provisions or in accordance with the present Convention:</w:t>
      </w:r>
    </w:p>
    <w:p w:rsidR="00266D0C" w:rsidRPr="00DF488F" w:rsidRDefault="00A152FB" w:rsidP="00C21240">
      <w:pPr>
        <w:numPr>
          <w:ilvl w:val="0"/>
          <w:numId w:val="5"/>
        </w:numPr>
        <w:spacing w:line="360" w:lineRule="auto"/>
        <w:jc w:val="both"/>
        <w:rPr>
          <w:rFonts w:ascii="Times New Roman" w:hAnsi="Times New Roman" w:cs="Times New Roman"/>
          <w:sz w:val="24"/>
          <w:szCs w:val="24"/>
        </w:rPr>
      </w:pPr>
      <w:r w:rsidRPr="00DF488F">
        <w:rPr>
          <w:rFonts w:ascii="Times New Roman" w:hAnsi="Times New Roman" w:cs="Times New Roman"/>
          <w:sz w:val="24"/>
          <w:szCs w:val="24"/>
        </w:rPr>
        <w:t>releases the parties from any obligation further to perform the treaty</w:t>
      </w:r>
    </w:p>
    <w:p w:rsidR="00266D0C" w:rsidRPr="00DF488F" w:rsidRDefault="00DF488F" w:rsidP="00C2124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A152FB" w:rsidRPr="00DF488F">
        <w:rPr>
          <w:rFonts w:ascii="Times New Roman" w:hAnsi="Times New Roman" w:cs="Times New Roman"/>
          <w:sz w:val="24"/>
          <w:szCs w:val="24"/>
        </w:rPr>
        <w:t>oes not affect any right, obligation or legal situation of the parties created through the execution of the treaty prior to its termination.</w:t>
      </w:r>
    </w:p>
    <w:p w:rsidR="004F1BDE" w:rsidRDefault="00BB3AFD" w:rsidP="00C212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preliminary question – which the House of Lords’ report correctly answer</w:t>
      </w:r>
      <w:r w:rsidR="004F1BDE">
        <w:rPr>
          <w:rFonts w:ascii="Times New Roman" w:hAnsi="Times New Roman" w:cs="Times New Roman"/>
          <w:sz w:val="24"/>
          <w:szCs w:val="24"/>
          <w:lang w:val="en-US"/>
        </w:rPr>
        <w:t>ed</w:t>
      </w:r>
      <w:r>
        <w:rPr>
          <w:rFonts w:ascii="Times New Roman" w:hAnsi="Times New Roman" w:cs="Times New Roman"/>
          <w:sz w:val="24"/>
          <w:szCs w:val="24"/>
          <w:lang w:val="en-US"/>
        </w:rPr>
        <w:t xml:space="preserve"> in the affirmative is – </w:t>
      </w:r>
      <w:r w:rsidR="00FC6121">
        <w:rPr>
          <w:rFonts w:ascii="Times New Roman" w:hAnsi="Times New Roman" w:cs="Times New Roman"/>
          <w:sz w:val="24"/>
          <w:szCs w:val="24"/>
          <w:lang w:val="en-US"/>
        </w:rPr>
        <w:t xml:space="preserve">is </w:t>
      </w:r>
      <w:r>
        <w:rPr>
          <w:rFonts w:ascii="Times New Roman" w:hAnsi="Times New Roman" w:cs="Times New Roman"/>
          <w:sz w:val="24"/>
          <w:szCs w:val="24"/>
          <w:lang w:val="en-US"/>
        </w:rPr>
        <w:t>whether international law, and specifically the V</w:t>
      </w:r>
      <w:r w:rsidR="004F1BDE">
        <w:rPr>
          <w:rFonts w:ascii="Times New Roman" w:hAnsi="Times New Roman" w:cs="Times New Roman"/>
          <w:sz w:val="24"/>
          <w:szCs w:val="24"/>
          <w:lang w:val="en-US"/>
        </w:rPr>
        <w:t xml:space="preserve">CLT, applies to the EU treaties. </w:t>
      </w:r>
      <w:r>
        <w:rPr>
          <w:rFonts w:ascii="Times New Roman" w:hAnsi="Times New Roman" w:cs="Times New Roman"/>
          <w:sz w:val="24"/>
          <w:szCs w:val="24"/>
          <w:lang w:val="en-US"/>
        </w:rPr>
        <w:t xml:space="preserve">While EU law is a new legal order of international law, this order still exists against the background of general international law, particularly regarding basic questions of treaty </w:t>
      </w:r>
      <w:r w:rsidR="004F1BDE">
        <w:rPr>
          <w:rFonts w:ascii="Times New Roman" w:hAnsi="Times New Roman" w:cs="Times New Roman"/>
          <w:sz w:val="24"/>
          <w:szCs w:val="24"/>
          <w:lang w:val="en-US"/>
        </w:rPr>
        <w:t>law</w:t>
      </w:r>
      <w:r>
        <w:rPr>
          <w:rFonts w:ascii="Times New Roman" w:hAnsi="Times New Roman" w:cs="Times New Roman"/>
          <w:sz w:val="24"/>
          <w:szCs w:val="24"/>
          <w:lang w:val="en-US"/>
        </w:rPr>
        <w:t>.</w:t>
      </w:r>
      <w:r w:rsidR="00A9472F">
        <w:rPr>
          <w:rFonts w:ascii="Times New Roman" w:hAnsi="Times New Roman" w:cs="Times New Roman"/>
          <w:sz w:val="24"/>
          <w:szCs w:val="24"/>
          <w:lang w:val="en-US"/>
        </w:rPr>
        <w:t xml:space="preserve"> International law serves as a fall-back for particular issues </w:t>
      </w:r>
      <w:r w:rsidR="004F1BDE">
        <w:rPr>
          <w:rFonts w:ascii="Times New Roman" w:hAnsi="Times New Roman" w:cs="Times New Roman"/>
          <w:sz w:val="24"/>
          <w:szCs w:val="24"/>
          <w:lang w:val="en-US"/>
        </w:rPr>
        <w:t xml:space="preserve">that </w:t>
      </w:r>
      <w:r w:rsidR="00FC6121">
        <w:rPr>
          <w:rFonts w:ascii="Times New Roman" w:hAnsi="Times New Roman" w:cs="Times New Roman"/>
          <w:sz w:val="24"/>
          <w:szCs w:val="24"/>
          <w:lang w:val="en-US"/>
        </w:rPr>
        <w:t>the EU treaties do not regulate, or regulate only incompletely. This is the position with respect to Article 50 TEU, as the paragraphs below show.</w:t>
      </w:r>
    </w:p>
    <w:p w:rsidR="00DF689B" w:rsidRDefault="00DF689B"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Crucially, the House of Lords</w:t>
      </w:r>
      <w:r w:rsidR="00FC6121">
        <w:rPr>
          <w:rFonts w:ascii="Times New Roman" w:hAnsi="Times New Roman" w:cs="Times New Roman"/>
          <w:sz w:val="24"/>
          <w:szCs w:val="24"/>
        </w:rPr>
        <w:t>’ report</w:t>
      </w:r>
      <w:r>
        <w:rPr>
          <w:rFonts w:ascii="Times New Roman" w:hAnsi="Times New Roman" w:cs="Times New Roman"/>
          <w:sz w:val="24"/>
          <w:szCs w:val="24"/>
        </w:rPr>
        <w:t xml:space="preserve"> concludes that Article 50 TEU is </w:t>
      </w:r>
      <w:r w:rsidRPr="00DF689B">
        <w:rPr>
          <w:rFonts w:ascii="Times New Roman" w:hAnsi="Times New Roman" w:cs="Times New Roman"/>
          <w:i/>
          <w:sz w:val="24"/>
          <w:szCs w:val="24"/>
        </w:rPr>
        <w:t>lex specialis</w:t>
      </w:r>
      <w:r>
        <w:rPr>
          <w:rFonts w:ascii="Times New Roman" w:hAnsi="Times New Roman" w:cs="Times New Roman"/>
          <w:sz w:val="24"/>
          <w:szCs w:val="24"/>
        </w:rPr>
        <w:t xml:space="preserve">, or an exception, </w:t>
      </w:r>
      <w:r w:rsidR="004F1BDE">
        <w:rPr>
          <w:rFonts w:ascii="Times New Roman" w:hAnsi="Times New Roman" w:cs="Times New Roman"/>
          <w:sz w:val="24"/>
          <w:szCs w:val="24"/>
        </w:rPr>
        <w:t>e</w:t>
      </w:r>
      <w:r>
        <w:rPr>
          <w:rFonts w:ascii="Times New Roman" w:hAnsi="Times New Roman" w:cs="Times New Roman"/>
          <w:sz w:val="24"/>
          <w:szCs w:val="24"/>
        </w:rPr>
        <w:t xml:space="preserve">xpressly mentioned in the first part </w:t>
      </w:r>
      <w:r w:rsidR="00BB3AFD">
        <w:rPr>
          <w:rFonts w:ascii="Times New Roman" w:hAnsi="Times New Roman" w:cs="Times New Roman"/>
          <w:sz w:val="24"/>
          <w:szCs w:val="24"/>
        </w:rPr>
        <w:t>of Article 70 (1) VCLT. In other words, b</w:t>
      </w:r>
      <w:r>
        <w:rPr>
          <w:rFonts w:ascii="Times New Roman" w:hAnsi="Times New Roman" w:cs="Times New Roman"/>
          <w:sz w:val="24"/>
          <w:szCs w:val="24"/>
        </w:rPr>
        <w:t>ecause the TEU contains a specific provision on withdrawal, Article 70 is irrelevant to the UK’s financial obligations a</w:t>
      </w:r>
      <w:r w:rsidR="004F1BDE">
        <w:rPr>
          <w:rFonts w:ascii="Times New Roman" w:hAnsi="Times New Roman" w:cs="Times New Roman"/>
          <w:sz w:val="24"/>
          <w:szCs w:val="24"/>
        </w:rPr>
        <w:t>rising out of its EU membership.</w:t>
      </w:r>
    </w:p>
    <w:p w:rsidR="004F1BDE" w:rsidRDefault="00DF689B"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reality, however, Article 50 TEU only partly contracts out of relevant customary international law. </w:t>
      </w:r>
      <w:r w:rsidR="004F1BDE">
        <w:rPr>
          <w:rFonts w:ascii="Times New Roman" w:hAnsi="Times New Roman" w:cs="Times New Roman"/>
          <w:sz w:val="24"/>
          <w:szCs w:val="24"/>
        </w:rPr>
        <w:t xml:space="preserve">For the most part, </w:t>
      </w:r>
      <w:r w:rsidR="00C21240">
        <w:rPr>
          <w:rFonts w:ascii="Times New Roman" w:hAnsi="Times New Roman" w:cs="Times New Roman"/>
          <w:sz w:val="24"/>
          <w:szCs w:val="24"/>
        </w:rPr>
        <w:t xml:space="preserve">Article </w:t>
      </w:r>
      <w:r w:rsidR="004F1BDE">
        <w:rPr>
          <w:rFonts w:ascii="Times New Roman" w:hAnsi="Times New Roman" w:cs="Times New Roman"/>
          <w:sz w:val="24"/>
          <w:szCs w:val="24"/>
        </w:rPr>
        <w:t>5</w:t>
      </w:r>
      <w:r w:rsidR="00C21240">
        <w:rPr>
          <w:rFonts w:ascii="Times New Roman" w:hAnsi="Times New Roman" w:cs="Times New Roman"/>
          <w:sz w:val="24"/>
          <w:szCs w:val="24"/>
        </w:rPr>
        <w:t>0 TEU</w:t>
      </w:r>
      <w:r>
        <w:rPr>
          <w:rFonts w:ascii="Times New Roman" w:hAnsi="Times New Roman" w:cs="Times New Roman"/>
          <w:sz w:val="24"/>
          <w:szCs w:val="24"/>
        </w:rPr>
        <w:t xml:space="preserve"> lays down a specific </w:t>
      </w:r>
      <w:r w:rsidRPr="00DF689B">
        <w:rPr>
          <w:rFonts w:ascii="Times New Roman" w:hAnsi="Times New Roman" w:cs="Times New Roman"/>
          <w:i/>
          <w:sz w:val="24"/>
          <w:szCs w:val="24"/>
        </w:rPr>
        <w:t xml:space="preserve">procedure </w:t>
      </w:r>
      <w:r>
        <w:rPr>
          <w:rFonts w:ascii="Times New Roman" w:hAnsi="Times New Roman" w:cs="Times New Roman"/>
          <w:sz w:val="24"/>
          <w:szCs w:val="24"/>
        </w:rPr>
        <w:t xml:space="preserve">(the timeline and notification requirements) </w:t>
      </w:r>
      <w:r w:rsidR="004F1BDE">
        <w:rPr>
          <w:rFonts w:ascii="Times New Roman" w:hAnsi="Times New Roman" w:cs="Times New Roman"/>
          <w:sz w:val="24"/>
          <w:szCs w:val="24"/>
        </w:rPr>
        <w:t xml:space="preserve">for a member state to withdraw </w:t>
      </w:r>
      <w:r>
        <w:rPr>
          <w:rFonts w:ascii="Times New Roman" w:hAnsi="Times New Roman" w:cs="Times New Roman"/>
          <w:sz w:val="24"/>
          <w:szCs w:val="24"/>
        </w:rPr>
        <w:t>from the complex edifice of</w:t>
      </w:r>
      <w:r w:rsidR="004F1BDE">
        <w:rPr>
          <w:rFonts w:ascii="Times New Roman" w:hAnsi="Times New Roman" w:cs="Times New Roman"/>
          <w:sz w:val="24"/>
          <w:szCs w:val="24"/>
        </w:rPr>
        <w:t xml:space="preserve"> the EU treaties. It also confirms the default rule in Article 70 VLCT that the EU treaties cease </w:t>
      </w:r>
      <w:r w:rsidR="00D525CC">
        <w:rPr>
          <w:rFonts w:ascii="Times New Roman" w:hAnsi="Times New Roman" w:cs="Times New Roman"/>
          <w:sz w:val="24"/>
          <w:szCs w:val="24"/>
        </w:rPr>
        <w:t>to apply from the critical date (Article 70(1)(a) speaks of “releases the parties from any obligation further to perform the treaty”).</w:t>
      </w:r>
    </w:p>
    <w:p w:rsidR="00DF689B" w:rsidRDefault="004F1BDE"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That said, t</w:t>
      </w:r>
      <w:r w:rsidR="00BB3AFD">
        <w:rPr>
          <w:rFonts w:ascii="Times New Roman" w:hAnsi="Times New Roman" w:cs="Times New Roman"/>
          <w:sz w:val="24"/>
          <w:szCs w:val="24"/>
        </w:rPr>
        <w:t xml:space="preserve">he contracting out is only </w:t>
      </w:r>
      <w:r w:rsidR="00BB3AFD" w:rsidRPr="00FC6121">
        <w:rPr>
          <w:rFonts w:ascii="Times New Roman" w:hAnsi="Times New Roman" w:cs="Times New Roman"/>
          <w:i/>
          <w:sz w:val="24"/>
          <w:szCs w:val="24"/>
        </w:rPr>
        <w:t xml:space="preserve">partial </w:t>
      </w:r>
      <w:r w:rsidR="00BB3AFD">
        <w:rPr>
          <w:rFonts w:ascii="Times New Roman" w:hAnsi="Times New Roman" w:cs="Times New Roman"/>
          <w:sz w:val="24"/>
          <w:szCs w:val="24"/>
        </w:rPr>
        <w:t xml:space="preserve">because the </w:t>
      </w:r>
      <w:r w:rsidR="00C21240">
        <w:rPr>
          <w:rFonts w:ascii="Times New Roman" w:hAnsi="Times New Roman" w:cs="Times New Roman"/>
          <w:sz w:val="24"/>
          <w:szCs w:val="24"/>
        </w:rPr>
        <w:t xml:space="preserve">VCLT has three </w:t>
      </w:r>
      <w:r w:rsidR="00DF689B">
        <w:rPr>
          <w:rFonts w:ascii="Times New Roman" w:hAnsi="Times New Roman" w:cs="Times New Roman"/>
          <w:sz w:val="24"/>
          <w:szCs w:val="24"/>
        </w:rPr>
        <w:t>provisions that deal, in</w:t>
      </w:r>
      <w:r w:rsidR="00BB3AFD">
        <w:rPr>
          <w:rFonts w:ascii="Times New Roman" w:hAnsi="Times New Roman" w:cs="Times New Roman"/>
          <w:sz w:val="24"/>
          <w:szCs w:val="24"/>
        </w:rPr>
        <w:t xml:space="preserve"> part, with withdrawal, rather than </w:t>
      </w:r>
      <w:r w:rsidR="00C21240">
        <w:rPr>
          <w:rFonts w:ascii="Times New Roman" w:hAnsi="Times New Roman" w:cs="Times New Roman"/>
          <w:sz w:val="24"/>
          <w:szCs w:val="24"/>
        </w:rPr>
        <w:t xml:space="preserve">just </w:t>
      </w:r>
      <w:r w:rsidR="00BB3AFD">
        <w:rPr>
          <w:rFonts w:ascii="Times New Roman" w:hAnsi="Times New Roman" w:cs="Times New Roman"/>
          <w:sz w:val="24"/>
          <w:szCs w:val="24"/>
        </w:rPr>
        <w:t>one.</w:t>
      </w:r>
      <w:r>
        <w:rPr>
          <w:rFonts w:ascii="Times New Roman" w:hAnsi="Times New Roman" w:cs="Times New Roman"/>
          <w:sz w:val="24"/>
          <w:szCs w:val="24"/>
        </w:rPr>
        <w:t xml:space="preserve"> </w:t>
      </w:r>
      <w:r w:rsidR="00DF689B">
        <w:rPr>
          <w:rFonts w:ascii="Times New Roman" w:hAnsi="Times New Roman" w:cs="Times New Roman"/>
          <w:sz w:val="24"/>
          <w:szCs w:val="24"/>
        </w:rPr>
        <w:t xml:space="preserve">In addition to Article 70 VCLT, there </w:t>
      </w:r>
      <w:r w:rsidR="00BB3AFD">
        <w:rPr>
          <w:rFonts w:ascii="Times New Roman" w:hAnsi="Times New Roman" w:cs="Times New Roman"/>
          <w:sz w:val="24"/>
          <w:szCs w:val="24"/>
        </w:rPr>
        <w:t xml:space="preserve">are </w:t>
      </w:r>
      <w:r w:rsidR="00DF689B">
        <w:rPr>
          <w:rFonts w:ascii="Times New Roman" w:hAnsi="Times New Roman" w:cs="Times New Roman"/>
          <w:sz w:val="24"/>
          <w:szCs w:val="24"/>
        </w:rPr>
        <w:t>Art</w:t>
      </w:r>
      <w:r w:rsidR="00BB3AFD">
        <w:rPr>
          <w:rFonts w:ascii="Times New Roman" w:hAnsi="Times New Roman" w:cs="Times New Roman"/>
          <w:sz w:val="24"/>
          <w:szCs w:val="24"/>
        </w:rPr>
        <w:t>icle</w:t>
      </w:r>
      <w:r w:rsidR="00A9472F">
        <w:rPr>
          <w:rFonts w:ascii="Times New Roman" w:hAnsi="Times New Roman" w:cs="Times New Roman"/>
          <w:sz w:val="24"/>
          <w:szCs w:val="24"/>
        </w:rPr>
        <w:t>s</w:t>
      </w:r>
      <w:r w:rsidR="00BB3AFD">
        <w:rPr>
          <w:rFonts w:ascii="Times New Roman" w:hAnsi="Times New Roman" w:cs="Times New Roman"/>
          <w:sz w:val="24"/>
          <w:szCs w:val="24"/>
        </w:rPr>
        <w:t xml:space="preserve"> 56(2) and 65</w:t>
      </w:r>
      <w:r w:rsidR="00C21240">
        <w:rPr>
          <w:rFonts w:ascii="Times New Roman" w:hAnsi="Times New Roman" w:cs="Times New Roman"/>
          <w:sz w:val="24"/>
          <w:szCs w:val="24"/>
        </w:rPr>
        <w:t>-68</w:t>
      </w:r>
      <w:r w:rsidR="00BB3AFD">
        <w:rPr>
          <w:rFonts w:ascii="Times New Roman" w:hAnsi="Times New Roman" w:cs="Times New Roman"/>
          <w:sz w:val="24"/>
          <w:szCs w:val="24"/>
        </w:rPr>
        <w:t xml:space="preserve"> VCLT.</w:t>
      </w:r>
      <w:r w:rsidR="00A9472F">
        <w:rPr>
          <w:rFonts w:ascii="Times New Roman" w:hAnsi="Times New Roman" w:cs="Times New Roman"/>
          <w:sz w:val="24"/>
          <w:szCs w:val="24"/>
        </w:rPr>
        <w:t xml:space="preserve"> </w:t>
      </w:r>
      <w:r w:rsidR="00D525CC">
        <w:rPr>
          <w:rFonts w:ascii="Times New Roman" w:hAnsi="Times New Roman" w:cs="Times New Roman"/>
          <w:sz w:val="24"/>
          <w:szCs w:val="24"/>
        </w:rPr>
        <w:t xml:space="preserve">Article 56 (1) </w:t>
      </w:r>
      <w:r w:rsidR="00C21240">
        <w:rPr>
          <w:rFonts w:ascii="Times New Roman" w:hAnsi="Times New Roman" w:cs="Times New Roman"/>
          <w:sz w:val="24"/>
          <w:szCs w:val="24"/>
        </w:rPr>
        <w:t xml:space="preserve">is about the possibility of withdrawal in the absence of a withdrawal provision. </w:t>
      </w:r>
      <w:r w:rsidR="00D525CC">
        <w:rPr>
          <w:rFonts w:ascii="Times New Roman" w:hAnsi="Times New Roman" w:cs="Times New Roman"/>
          <w:sz w:val="24"/>
          <w:szCs w:val="24"/>
        </w:rPr>
        <w:t xml:space="preserve">Given </w:t>
      </w:r>
      <w:r w:rsidR="00FC6121">
        <w:rPr>
          <w:rFonts w:ascii="Times New Roman" w:hAnsi="Times New Roman" w:cs="Times New Roman"/>
          <w:sz w:val="24"/>
          <w:szCs w:val="24"/>
        </w:rPr>
        <w:t xml:space="preserve">the presence of </w:t>
      </w:r>
      <w:r w:rsidR="00D525CC">
        <w:rPr>
          <w:rFonts w:ascii="Times New Roman" w:hAnsi="Times New Roman" w:cs="Times New Roman"/>
          <w:sz w:val="24"/>
          <w:szCs w:val="24"/>
        </w:rPr>
        <w:t xml:space="preserve">Article 50 TEU, it is not relevant for present purposes. </w:t>
      </w:r>
      <w:r w:rsidR="00C21240">
        <w:rPr>
          <w:rFonts w:ascii="Times New Roman" w:hAnsi="Times New Roman" w:cs="Times New Roman"/>
          <w:sz w:val="24"/>
          <w:szCs w:val="24"/>
        </w:rPr>
        <w:t>Article 56 (2) establishes a default notice period of 12 months. Article 65-68 provides for default procedural steps for, among others, withdrawal from a treaty (the same default steps also apply to invalidity, termination or suspension).</w:t>
      </w:r>
    </w:p>
    <w:p w:rsidR="00A9472F" w:rsidRPr="00A9472F" w:rsidRDefault="00C21240" w:rsidP="00C212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Contrary to the House of Lords’ report, A</w:t>
      </w:r>
      <w:r w:rsidR="00A9472F">
        <w:rPr>
          <w:rFonts w:ascii="Times New Roman" w:hAnsi="Times New Roman" w:cs="Times New Roman"/>
          <w:sz w:val="24"/>
          <w:szCs w:val="24"/>
          <w:lang w:val="en-US"/>
        </w:rPr>
        <w:t xml:space="preserve">rticle 50 </w:t>
      </w:r>
      <w:r>
        <w:rPr>
          <w:rFonts w:ascii="Times New Roman" w:hAnsi="Times New Roman" w:cs="Times New Roman"/>
          <w:sz w:val="24"/>
          <w:szCs w:val="24"/>
          <w:lang w:val="en-US"/>
        </w:rPr>
        <w:t xml:space="preserve">it no exception to </w:t>
      </w:r>
      <w:r w:rsidR="00A9472F">
        <w:rPr>
          <w:rFonts w:ascii="Times New Roman" w:hAnsi="Times New Roman" w:cs="Times New Roman"/>
          <w:sz w:val="24"/>
          <w:szCs w:val="24"/>
          <w:lang w:val="en-US"/>
        </w:rPr>
        <w:t xml:space="preserve">Article 70 </w:t>
      </w:r>
      <w:r w:rsidR="00FC6121">
        <w:rPr>
          <w:rFonts w:ascii="Times New Roman" w:hAnsi="Times New Roman" w:cs="Times New Roman"/>
          <w:sz w:val="24"/>
          <w:szCs w:val="24"/>
          <w:lang w:val="en-US"/>
        </w:rPr>
        <w:t xml:space="preserve">(1) (b) </w:t>
      </w:r>
      <w:r w:rsidR="00A9472F">
        <w:rPr>
          <w:rFonts w:ascii="Times New Roman" w:hAnsi="Times New Roman" w:cs="Times New Roman"/>
          <w:sz w:val="24"/>
          <w:szCs w:val="24"/>
          <w:lang w:val="en-US"/>
        </w:rPr>
        <w:t xml:space="preserve">VCLT. </w:t>
      </w:r>
      <w:r>
        <w:rPr>
          <w:rFonts w:ascii="Times New Roman" w:hAnsi="Times New Roman" w:cs="Times New Roman"/>
          <w:sz w:val="24"/>
          <w:szCs w:val="24"/>
          <w:lang w:val="en-US"/>
        </w:rPr>
        <w:t>All that Article 50 does it depart from the default procedural rules set out in Art</w:t>
      </w:r>
      <w:r w:rsidR="00FC6121">
        <w:rPr>
          <w:rFonts w:ascii="Times New Roman" w:hAnsi="Times New Roman" w:cs="Times New Roman"/>
          <w:sz w:val="24"/>
          <w:szCs w:val="24"/>
          <w:lang w:val="en-US"/>
        </w:rPr>
        <w:t xml:space="preserve">icle 56 (2) and Articles 65-68. </w:t>
      </w:r>
      <w:r w:rsidR="00FC6121" w:rsidRPr="00FC6121">
        <w:rPr>
          <w:rFonts w:ascii="Times New Roman" w:hAnsi="Times New Roman" w:cs="Times New Roman"/>
          <w:sz w:val="24"/>
          <w:szCs w:val="24"/>
          <w:lang w:val="en-US"/>
        </w:rPr>
        <w:t xml:space="preserve">For instance, Article 56(2) TEU lengthens the notice period to 2 years (rather </w:t>
      </w:r>
      <w:r w:rsidR="00FC6121" w:rsidRPr="00FC6121">
        <w:rPr>
          <w:rFonts w:ascii="Times New Roman" w:hAnsi="Times New Roman" w:cs="Times New Roman"/>
          <w:sz w:val="24"/>
          <w:szCs w:val="24"/>
          <w:lang w:val="en-US"/>
        </w:rPr>
        <w:lastRenderedPageBreak/>
        <w:t xml:space="preserve">than the default period of one year). </w:t>
      </w:r>
      <w:r w:rsidR="00FC6121">
        <w:rPr>
          <w:rFonts w:ascii="Times New Roman" w:hAnsi="Times New Roman" w:cs="Times New Roman"/>
          <w:sz w:val="24"/>
          <w:szCs w:val="24"/>
          <w:lang w:val="en-US"/>
        </w:rPr>
        <w:t xml:space="preserve">It also </w:t>
      </w:r>
      <w:r w:rsidR="00D525CC">
        <w:rPr>
          <w:rFonts w:ascii="Times New Roman" w:hAnsi="Times New Roman" w:cs="Times New Roman"/>
          <w:sz w:val="24"/>
          <w:szCs w:val="24"/>
          <w:lang w:val="en-US"/>
        </w:rPr>
        <w:t>confirm</w:t>
      </w:r>
      <w:r w:rsidR="00FC6121">
        <w:rPr>
          <w:rFonts w:ascii="Times New Roman" w:hAnsi="Times New Roman" w:cs="Times New Roman"/>
          <w:sz w:val="24"/>
          <w:szCs w:val="24"/>
          <w:lang w:val="en-US"/>
        </w:rPr>
        <w:t>s</w:t>
      </w:r>
      <w:r w:rsidR="00D525CC">
        <w:rPr>
          <w:rFonts w:ascii="Times New Roman" w:hAnsi="Times New Roman" w:cs="Times New Roman"/>
          <w:sz w:val="24"/>
          <w:szCs w:val="24"/>
          <w:lang w:val="en-US"/>
        </w:rPr>
        <w:t xml:space="preserve"> the release from oblig</w:t>
      </w:r>
      <w:r w:rsidR="00FC6121">
        <w:rPr>
          <w:rFonts w:ascii="Times New Roman" w:hAnsi="Times New Roman" w:cs="Times New Roman"/>
          <w:sz w:val="24"/>
          <w:szCs w:val="24"/>
          <w:lang w:val="en-US"/>
        </w:rPr>
        <w:t>ations under treaties going forward</w:t>
      </w:r>
      <w:r w:rsidR="00D525CC">
        <w:rPr>
          <w:rFonts w:ascii="Times New Roman" w:hAnsi="Times New Roman" w:cs="Times New Roman"/>
          <w:sz w:val="24"/>
          <w:szCs w:val="24"/>
          <w:lang w:val="en-US"/>
        </w:rPr>
        <w:t xml:space="preserve"> under Article 70 (1)(a). </w:t>
      </w:r>
    </w:p>
    <w:p w:rsidR="00C21240" w:rsidRDefault="004F512E"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The House of Lords</w:t>
      </w:r>
      <w:r w:rsidR="00FC6121">
        <w:rPr>
          <w:rFonts w:ascii="Times New Roman" w:hAnsi="Times New Roman" w:cs="Times New Roman"/>
          <w:sz w:val="24"/>
          <w:szCs w:val="24"/>
        </w:rPr>
        <w:t>’</w:t>
      </w:r>
      <w:r>
        <w:rPr>
          <w:rFonts w:ascii="Times New Roman" w:hAnsi="Times New Roman" w:cs="Times New Roman"/>
          <w:sz w:val="24"/>
          <w:szCs w:val="24"/>
        </w:rPr>
        <w:t xml:space="preserve"> report </w:t>
      </w:r>
      <w:r w:rsidR="00BB3AFD">
        <w:rPr>
          <w:rFonts w:ascii="Times New Roman" w:hAnsi="Times New Roman" w:cs="Times New Roman"/>
          <w:sz w:val="24"/>
          <w:szCs w:val="24"/>
        </w:rPr>
        <w:t xml:space="preserve">errs in </w:t>
      </w:r>
      <w:r>
        <w:rPr>
          <w:rFonts w:ascii="Times New Roman" w:hAnsi="Times New Roman" w:cs="Times New Roman"/>
          <w:sz w:val="24"/>
          <w:szCs w:val="24"/>
        </w:rPr>
        <w:t xml:space="preserve">taking the </w:t>
      </w:r>
      <w:r w:rsidR="00BB3AFD">
        <w:rPr>
          <w:rFonts w:ascii="Times New Roman" w:hAnsi="Times New Roman" w:cs="Times New Roman"/>
          <w:sz w:val="24"/>
          <w:szCs w:val="24"/>
        </w:rPr>
        <w:t xml:space="preserve">more specific procedural steps for withdrawal in Article 50 </w:t>
      </w:r>
      <w:r w:rsidR="00D525CC">
        <w:rPr>
          <w:rFonts w:ascii="Times New Roman" w:hAnsi="Times New Roman" w:cs="Times New Roman"/>
          <w:sz w:val="24"/>
          <w:szCs w:val="24"/>
        </w:rPr>
        <w:t xml:space="preserve">TEU </w:t>
      </w:r>
      <w:r w:rsidR="00BB3AFD">
        <w:rPr>
          <w:rFonts w:ascii="Times New Roman" w:hAnsi="Times New Roman" w:cs="Times New Roman"/>
          <w:sz w:val="24"/>
          <w:szCs w:val="24"/>
        </w:rPr>
        <w:t xml:space="preserve">as evidence </w:t>
      </w:r>
      <w:r>
        <w:rPr>
          <w:rFonts w:ascii="Times New Roman" w:hAnsi="Times New Roman" w:cs="Times New Roman"/>
          <w:sz w:val="24"/>
          <w:szCs w:val="24"/>
        </w:rPr>
        <w:t xml:space="preserve">that </w:t>
      </w:r>
      <w:r w:rsidR="00BB3AFD">
        <w:rPr>
          <w:rFonts w:ascii="Times New Roman" w:hAnsi="Times New Roman" w:cs="Times New Roman"/>
          <w:sz w:val="24"/>
          <w:szCs w:val="24"/>
        </w:rPr>
        <w:t xml:space="preserve">Article 50 </w:t>
      </w:r>
      <w:r>
        <w:rPr>
          <w:rFonts w:ascii="Times New Roman" w:hAnsi="Times New Roman" w:cs="Times New Roman"/>
          <w:sz w:val="24"/>
          <w:szCs w:val="24"/>
        </w:rPr>
        <w:t xml:space="preserve">contracted out of all </w:t>
      </w:r>
      <w:r w:rsidRPr="004F512E">
        <w:rPr>
          <w:rFonts w:ascii="Times New Roman" w:hAnsi="Times New Roman" w:cs="Times New Roman"/>
          <w:i/>
          <w:sz w:val="24"/>
          <w:szCs w:val="24"/>
        </w:rPr>
        <w:t>other</w:t>
      </w:r>
      <w:r>
        <w:rPr>
          <w:rFonts w:ascii="Times New Roman" w:hAnsi="Times New Roman" w:cs="Times New Roman"/>
          <w:sz w:val="24"/>
          <w:szCs w:val="24"/>
        </w:rPr>
        <w:t xml:space="preserve"> rules of international law </w:t>
      </w:r>
      <w:r w:rsidR="00BB3AFD">
        <w:rPr>
          <w:rFonts w:ascii="Times New Roman" w:hAnsi="Times New Roman" w:cs="Times New Roman"/>
          <w:sz w:val="24"/>
          <w:szCs w:val="24"/>
        </w:rPr>
        <w:t xml:space="preserve">on treaty withdrawal. </w:t>
      </w:r>
      <w:r w:rsidR="00C21240">
        <w:rPr>
          <w:rFonts w:ascii="Times New Roman" w:hAnsi="Times New Roman" w:cs="Times New Roman"/>
          <w:sz w:val="24"/>
          <w:szCs w:val="24"/>
        </w:rPr>
        <w:t xml:space="preserve">Article </w:t>
      </w:r>
      <w:r w:rsidR="00FC6121">
        <w:rPr>
          <w:rFonts w:ascii="Times New Roman" w:hAnsi="Times New Roman" w:cs="Times New Roman"/>
          <w:sz w:val="24"/>
          <w:szCs w:val="24"/>
        </w:rPr>
        <w:t xml:space="preserve">70(1) </w:t>
      </w:r>
      <w:r w:rsidR="00C21240">
        <w:rPr>
          <w:rFonts w:ascii="Times New Roman" w:hAnsi="Times New Roman" w:cs="Times New Roman"/>
          <w:sz w:val="24"/>
          <w:szCs w:val="24"/>
        </w:rPr>
        <w:t xml:space="preserve">is </w:t>
      </w:r>
      <w:r w:rsidR="00FC6121">
        <w:rPr>
          <w:rFonts w:ascii="Times New Roman" w:hAnsi="Times New Roman" w:cs="Times New Roman"/>
          <w:sz w:val="24"/>
          <w:szCs w:val="24"/>
        </w:rPr>
        <w:t xml:space="preserve">the decisive provision </w:t>
      </w:r>
      <w:r w:rsidR="00C21240">
        <w:rPr>
          <w:rFonts w:ascii="Times New Roman" w:hAnsi="Times New Roman" w:cs="Times New Roman"/>
          <w:sz w:val="24"/>
          <w:szCs w:val="24"/>
        </w:rPr>
        <w:t xml:space="preserve">for the UK’s financial obligations arising out of its EU membership because it expressly </w:t>
      </w:r>
      <w:r w:rsidR="00FC6121">
        <w:rPr>
          <w:rFonts w:ascii="Times New Roman" w:hAnsi="Times New Roman" w:cs="Times New Roman"/>
          <w:sz w:val="24"/>
          <w:szCs w:val="24"/>
        </w:rPr>
        <w:t xml:space="preserve">states that </w:t>
      </w:r>
      <w:r w:rsidR="00C21240">
        <w:rPr>
          <w:rFonts w:ascii="Times New Roman" w:hAnsi="Times New Roman" w:cs="Times New Roman"/>
          <w:sz w:val="24"/>
          <w:szCs w:val="24"/>
        </w:rPr>
        <w:t xml:space="preserve">withdrawal </w:t>
      </w:r>
      <w:r w:rsidR="00FC6121">
        <w:rPr>
          <w:rFonts w:ascii="Times New Roman" w:hAnsi="Times New Roman" w:cs="Times New Roman"/>
          <w:sz w:val="24"/>
          <w:szCs w:val="24"/>
        </w:rPr>
        <w:t>does not affect these rights and obligations www</w:t>
      </w:r>
      <w:r w:rsidR="00C21240">
        <w:rPr>
          <w:rFonts w:ascii="Times New Roman" w:hAnsi="Times New Roman" w:cs="Times New Roman"/>
          <w:sz w:val="24"/>
          <w:szCs w:val="24"/>
        </w:rPr>
        <w:t>(“does not affect any right, obligation or legal situation of the parties created through the execution of the treaty prior to its termination”).</w:t>
      </w:r>
    </w:p>
    <w:p w:rsidR="00BB3AFD" w:rsidRDefault="00BB3AFD" w:rsidP="00C2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Importantly, </w:t>
      </w:r>
      <w:r w:rsidR="00C21240">
        <w:rPr>
          <w:rFonts w:ascii="Times New Roman" w:hAnsi="Times New Roman" w:cs="Times New Roman"/>
          <w:sz w:val="24"/>
          <w:szCs w:val="24"/>
        </w:rPr>
        <w:t xml:space="preserve">the general rule is that </w:t>
      </w:r>
      <w:r>
        <w:rPr>
          <w:rFonts w:ascii="Times New Roman" w:hAnsi="Times New Roman" w:cs="Times New Roman"/>
          <w:sz w:val="24"/>
          <w:szCs w:val="24"/>
        </w:rPr>
        <w:t xml:space="preserve">silence of the treaty parties </w:t>
      </w:r>
      <w:r w:rsidR="00C21240">
        <w:rPr>
          <w:rFonts w:ascii="Times New Roman" w:hAnsi="Times New Roman" w:cs="Times New Roman"/>
          <w:sz w:val="24"/>
          <w:szCs w:val="24"/>
        </w:rPr>
        <w:t xml:space="preserve">does not </w:t>
      </w:r>
      <w:r>
        <w:rPr>
          <w:rFonts w:ascii="Times New Roman" w:hAnsi="Times New Roman" w:cs="Times New Roman"/>
          <w:sz w:val="24"/>
          <w:szCs w:val="24"/>
        </w:rPr>
        <w:t xml:space="preserve">mean contracting </w:t>
      </w:r>
      <w:r w:rsidR="00FC6121">
        <w:rPr>
          <w:rFonts w:ascii="Times New Roman" w:hAnsi="Times New Roman" w:cs="Times New Roman"/>
          <w:sz w:val="24"/>
          <w:szCs w:val="24"/>
        </w:rPr>
        <w:t xml:space="preserve">out of </w:t>
      </w:r>
      <w:r>
        <w:rPr>
          <w:rFonts w:ascii="Times New Roman" w:hAnsi="Times New Roman" w:cs="Times New Roman"/>
          <w:sz w:val="24"/>
          <w:szCs w:val="24"/>
        </w:rPr>
        <w:t xml:space="preserve">customary international law. In other words, there is a presumption that there is no contracting out – </w:t>
      </w:r>
      <w:r w:rsidR="00D525CC">
        <w:rPr>
          <w:rFonts w:ascii="Times New Roman" w:hAnsi="Times New Roman" w:cs="Times New Roman"/>
          <w:sz w:val="24"/>
          <w:szCs w:val="24"/>
        </w:rPr>
        <w:t xml:space="preserve">but </w:t>
      </w:r>
      <w:r>
        <w:rPr>
          <w:rFonts w:ascii="Times New Roman" w:hAnsi="Times New Roman" w:cs="Times New Roman"/>
          <w:sz w:val="24"/>
          <w:szCs w:val="24"/>
        </w:rPr>
        <w:t>like other aspects of</w:t>
      </w:r>
      <w:r w:rsidR="00FC6121">
        <w:rPr>
          <w:rFonts w:ascii="Times New Roman" w:hAnsi="Times New Roman" w:cs="Times New Roman"/>
          <w:sz w:val="24"/>
          <w:szCs w:val="24"/>
        </w:rPr>
        <w:t xml:space="preserve"> the law of</w:t>
      </w:r>
      <w:r>
        <w:rPr>
          <w:rFonts w:ascii="Times New Roman" w:hAnsi="Times New Roman" w:cs="Times New Roman"/>
          <w:sz w:val="24"/>
          <w:szCs w:val="24"/>
        </w:rPr>
        <w:t xml:space="preserve"> treaties, this is ultimately a matter for interpretation. The UK may be able to rebut the presumption – for instance by adducing </w:t>
      </w:r>
      <w:r w:rsidRPr="00D525CC">
        <w:rPr>
          <w:rFonts w:ascii="Times New Roman" w:hAnsi="Times New Roman" w:cs="Times New Roman"/>
          <w:i/>
          <w:sz w:val="24"/>
          <w:szCs w:val="24"/>
        </w:rPr>
        <w:t>travaux</w:t>
      </w:r>
      <w:r w:rsidR="00D525CC" w:rsidRPr="00D525CC">
        <w:rPr>
          <w:rFonts w:ascii="Times New Roman" w:hAnsi="Times New Roman" w:cs="Times New Roman"/>
          <w:i/>
          <w:sz w:val="24"/>
          <w:szCs w:val="24"/>
        </w:rPr>
        <w:t xml:space="preserve"> préparatoires</w:t>
      </w:r>
      <w:r w:rsidRPr="00D525CC">
        <w:rPr>
          <w:rFonts w:ascii="Times New Roman" w:hAnsi="Times New Roman" w:cs="Times New Roman"/>
          <w:i/>
          <w:sz w:val="24"/>
          <w:szCs w:val="24"/>
        </w:rPr>
        <w:t xml:space="preserve"> </w:t>
      </w:r>
      <w:r>
        <w:rPr>
          <w:rFonts w:ascii="Times New Roman" w:hAnsi="Times New Roman" w:cs="Times New Roman"/>
          <w:sz w:val="24"/>
          <w:szCs w:val="24"/>
        </w:rPr>
        <w:t>that show that member states intended to contract out of the VCLT’s provisions on withdrawal in their entirety. But t</w:t>
      </w:r>
      <w:r w:rsidR="00D525CC">
        <w:rPr>
          <w:rFonts w:ascii="Times New Roman" w:hAnsi="Times New Roman" w:cs="Times New Roman"/>
          <w:sz w:val="24"/>
          <w:szCs w:val="24"/>
        </w:rPr>
        <w:t>his is likely to be a long shot.</w:t>
      </w:r>
    </w:p>
    <w:p w:rsidR="00886B39" w:rsidRDefault="00FC6121" w:rsidP="00C212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sum, </w:t>
      </w:r>
      <w:r w:rsidR="00BB3AFD">
        <w:rPr>
          <w:rFonts w:ascii="Times New Roman" w:hAnsi="Times New Roman" w:cs="Times New Roman"/>
          <w:sz w:val="24"/>
          <w:szCs w:val="24"/>
          <w:lang w:val="en-US"/>
        </w:rPr>
        <w:t xml:space="preserve">Article 50 is </w:t>
      </w:r>
      <w:r w:rsidR="00BB3AFD" w:rsidRPr="008C72CA">
        <w:rPr>
          <w:rFonts w:ascii="Times New Roman" w:hAnsi="Times New Roman" w:cs="Times New Roman"/>
          <w:i/>
          <w:sz w:val="24"/>
          <w:szCs w:val="24"/>
          <w:lang w:val="en-US"/>
        </w:rPr>
        <w:t>lex specialis</w:t>
      </w:r>
      <w:r w:rsidR="00BB3AFD">
        <w:rPr>
          <w:rFonts w:ascii="Times New Roman" w:hAnsi="Times New Roman" w:cs="Times New Roman"/>
          <w:sz w:val="24"/>
          <w:szCs w:val="24"/>
          <w:lang w:val="en-US"/>
        </w:rPr>
        <w:t xml:space="preserve"> </w:t>
      </w:r>
      <w:r w:rsidR="00C21240">
        <w:rPr>
          <w:rFonts w:ascii="Times New Roman" w:hAnsi="Times New Roman" w:cs="Times New Roman"/>
          <w:sz w:val="24"/>
          <w:szCs w:val="24"/>
          <w:lang w:val="en-US"/>
        </w:rPr>
        <w:t xml:space="preserve">only as regards the </w:t>
      </w:r>
      <w:r w:rsidR="00C21240" w:rsidRPr="00C21240">
        <w:rPr>
          <w:rFonts w:ascii="Times New Roman" w:hAnsi="Times New Roman" w:cs="Times New Roman"/>
          <w:i/>
          <w:sz w:val="24"/>
          <w:szCs w:val="24"/>
          <w:lang w:val="en-US"/>
        </w:rPr>
        <w:t>procedure</w:t>
      </w:r>
      <w:r w:rsidR="00C21240">
        <w:rPr>
          <w:rFonts w:ascii="Times New Roman" w:hAnsi="Times New Roman" w:cs="Times New Roman"/>
          <w:sz w:val="24"/>
          <w:szCs w:val="24"/>
          <w:lang w:val="en-US"/>
        </w:rPr>
        <w:t xml:space="preserve"> for withdrawal. It preserves the customary international law rule in Article 70 </w:t>
      </w:r>
      <w:r w:rsidR="00D525CC">
        <w:rPr>
          <w:rFonts w:ascii="Times New Roman" w:hAnsi="Times New Roman" w:cs="Times New Roman"/>
          <w:sz w:val="24"/>
          <w:szCs w:val="24"/>
          <w:lang w:val="en-US"/>
        </w:rPr>
        <w:t xml:space="preserve">VCLT </w:t>
      </w:r>
      <w:r>
        <w:rPr>
          <w:rFonts w:ascii="Times New Roman" w:hAnsi="Times New Roman" w:cs="Times New Roman"/>
          <w:sz w:val="24"/>
          <w:szCs w:val="24"/>
          <w:lang w:val="en-US"/>
        </w:rPr>
        <w:t xml:space="preserve">(1) (b) </w:t>
      </w:r>
      <w:r w:rsidR="00C21240">
        <w:rPr>
          <w:rFonts w:ascii="Times New Roman" w:hAnsi="Times New Roman" w:cs="Times New Roman"/>
          <w:sz w:val="24"/>
          <w:szCs w:val="24"/>
          <w:lang w:val="en-US"/>
        </w:rPr>
        <w:t xml:space="preserve">that the rights and obligations of the treaty parties prior to withdrawal are untouched. And </w:t>
      </w:r>
      <w:r w:rsidR="00D525CC">
        <w:rPr>
          <w:rFonts w:ascii="Times New Roman" w:hAnsi="Times New Roman" w:cs="Times New Roman"/>
          <w:sz w:val="24"/>
          <w:szCs w:val="24"/>
          <w:lang w:val="en-US"/>
        </w:rPr>
        <w:t xml:space="preserve">importantly, </w:t>
      </w:r>
      <w:r w:rsidR="00C21240">
        <w:rPr>
          <w:rFonts w:ascii="Times New Roman" w:hAnsi="Times New Roman" w:cs="Times New Roman"/>
          <w:sz w:val="24"/>
          <w:szCs w:val="24"/>
          <w:lang w:val="en-US"/>
        </w:rPr>
        <w:t>this includes the UK’s financial obligations arising out of its EU membership.</w:t>
      </w:r>
    </w:p>
    <w:p w:rsidR="007B675F" w:rsidRDefault="007B675F" w:rsidP="00C21240">
      <w:pPr>
        <w:spacing w:line="360" w:lineRule="auto"/>
        <w:jc w:val="both"/>
        <w:rPr>
          <w:rFonts w:ascii="Times New Roman" w:hAnsi="Times New Roman" w:cs="Times New Roman"/>
          <w:sz w:val="24"/>
          <w:szCs w:val="24"/>
          <w:lang w:val="en-US"/>
        </w:rPr>
      </w:pPr>
    </w:p>
    <w:p w:rsidR="007F185A" w:rsidRPr="007F185A" w:rsidRDefault="007F185A" w:rsidP="00C21240">
      <w:pPr>
        <w:numPr>
          <w:ilvl w:val="0"/>
          <w:numId w:val="3"/>
        </w:numPr>
        <w:spacing w:line="360" w:lineRule="auto"/>
        <w:jc w:val="both"/>
        <w:rPr>
          <w:rFonts w:ascii="Times New Roman" w:hAnsi="Times New Roman" w:cs="Times New Roman"/>
          <w:b/>
          <w:sz w:val="24"/>
          <w:szCs w:val="24"/>
          <w:lang w:val="en-US"/>
        </w:rPr>
      </w:pPr>
      <w:r w:rsidRPr="007F185A">
        <w:rPr>
          <w:rFonts w:ascii="Times New Roman" w:hAnsi="Times New Roman" w:cs="Times New Roman"/>
          <w:b/>
          <w:sz w:val="24"/>
          <w:szCs w:val="24"/>
          <w:lang w:val="en-US"/>
        </w:rPr>
        <w:t>Whither the CJEU’s jurisdiction</w:t>
      </w:r>
      <w:r w:rsidR="00B77B99">
        <w:rPr>
          <w:rFonts w:ascii="Times New Roman" w:hAnsi="Times New Roman" w:cs="Times New Roman"/>
          <w:b/>
          <w:sz w:val="24"/>
          <w:szCs w:val="24"/>
          <w:lang w:val="en-US"/>
        </w:rPr>
        <w:t>?</w:t>
      </w:r>
    </w:p>
    <w:p w:rsidR="0084763D" w:rsidRDefault="0084763D" w:rsidP="00C212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is uncontroversial is that o</w:t>
      </w:r>
      <w:r w:rsidR="00B77B99">
        <w:rPr>
          <w:rFonts w:ascii="Times New Roman" w:hAnsi="Times New Roman" w:cs="Times New Roman"/>
          <w:sz w:val="24"/>
          <w:szCs w:val="24"/>
          <w:lang w:val="en-US"/>
        </w:rPr>
        <w:t xml:space="preserve">nce the UK leaves the </w:t>
      </w:r>
      <w:r w:rsidR="00FC6121">
        <w:rPr>
          <w:rFonts w:ascii="Times New Roman" w:hAnsi="Times New Roman" w:cs="Times New Roman"/>
          <w:sz w:val="24"/>
          <w:szCs w:val="24"/>
          <w:lang w:val="en-US"/>
        </w:rPr>
        <w:t>EU</w:t>
      </w:r>
      <w:r w:rsidR="0051067B">
        <w:rPr>
          <w:rFonts w:ascii="Times New Roman" w:hAnsi="Times New Roman" w:cs="Times New Roman"/>
          <w:sz w:val="24"/>
          <w:szCs w:val="24"/>
          <w:lang w:val="en-US"/>
        </w:rPr>
        <w:t xml:space="preserve">, </w:t>
      </w:r>
      <w:r w:rsidR="00B77B99">
        <w:rPr>
          <w:rFonts w:ascii="Times New Roman" w:hAnsi="Times New Roman" w:cs="Times New Roman"/>
          <w:sz w:val="24"/>
          <w:szCs w:val="24"/>
          <w:lang w:val="en-US"/>
        </w:rPr>
        <w:t xml:space="preserve">the </w:t>
      </w:r>
      <w:r w:rsidR="00FC6121">
        <w:rPr>
          <w:rFonts w:ascii="Times New Roman" w:hAnsi="Times New Roman" w:cs="Times New Roman"/>
          <w:sz w:val="24"/>
          <w:szCs w:val="24"/>
          <w:lang w:val="en-US"/>
        </w:rPr>
        <w:t xml:space="preserve">European Court of Justice </w:t>
      </w:r>
      <w:r w:rsidR="00B77B99">
        <w:rPr>
          <w:rFonts w:ascii="Times New Roman" w:hAnsi="Times New Roman" w:cs="Times New Roman"/>
          <w:sz w:val="24"/>
          <w:szCs w:val="24"/>
          <w:lang w:val="en-US"/>
        </w:rPr>
        <w:t>will no longer have jurisdiction over the UK</w:t>
      </w:r>
      <w:r w:rsidR="0051067B">
        <w:rPr>
          <w:rFonts w:ascii="Times New Roman" w:hAnsi="Times New Roman" w:cs="Times New Roman"/>
          <w:sz w:val="24"/>
          <w:szCs w:val="24"/>
          <w:lang w:val="en-US"/>
        </w:rPr>
        <w:t xml:space="preserve"> in respect of the EU treaties</w:t>
      </w:r>
      <w:r>
        <w:rPr>
          <w:rFonts w:ascii="Times New Roman" w:hAnsi="Times New Roman" w:cs="Times New Roman"/>
          <w:sz w:val="24"/>
          <w:szCs w:val="24"/>
          <w:lang w:val="en-US"/>
        </w:rPr>
        <w:t xml:space="preserve"> (unless the EU27 and the UK otherwise agree).</w:t>
      </w:r>
      <w:r w:rsidR="0051067B">
        <w:rPr>
          <w:rFonts w:ascii="Times New Roman" w:hAnsi="Times New Roman" w:cs="Times New Roman"/>
          <w:sz w:val="24"/>
          <w:szCs w:val="24"/>
          <w:lang w:val="en-US"/>
        </w:rPr>
        <w:t xml:space="preserve"> </w:t>
      </w:r>
      <w:r w:rsidR="00FC6121" w:rsidRPr="00FC6121">
        <w:rPr>
          <w:rFonts w:ascii="Times New Roman" w:hAnsi="Times New Roman" w:cs="Times New Roman"/>
          <w:sz w:val="24"/>
          <w:szCs w:val="24"/>
          <w:lang w:val="en-US"/>
        </w:rPr>
        <w:t xml:space="preserve">Conversely prior to the critical date, the EU treaties continue to apply to the UK and the UK remains subject to the </w:t>
      </w:r>
      <w:r w:rsidR="00FC6121">
        <w:rPr>
          <w:rFonts w:ascii="Times New Roman" w:hAnsi="Times New Roman" w:cs="Times New Roman"/>
          <w:sz w:val="24"/>
          <w:szCs w:val="24"/>
          <w:lang w:val="en-US"/>
        </w:rPr>
        <w:t xml:space="preserve">European Court’s </w:t>
      </w:r>
      <w:r w:rsidR="00FC6121" w:rsidRPr="00FC6121">
        <w:rPr>
          <w:rFonts w:ascii="Times New Roman" w:hAnsi="Times New Roman" w:cs="Times New Roman"/>
          <w:sz w:val="24"/>
          <w:szCs w:val="24"/>
          <w:lang w:val="en-US"/>
        </w:rPr>
        <w:t>jurisdiction.</w:t>
      </w:r>
      <w:r w:rsidR="00FC61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Under Article 50 TEU, </w:t>
      </w:r>
      <w:r w:rsidR="0051067B">
        <w:rPr>
          <w:rFonts w:ascii="Times New Roman" w:hAnsi="Times New Roman" w:cs="Times New Roman"/>
          <w:sz w:val="24"/>
          <w:szCs w:val="24"/>
          <w:lang w:val="en-US"/>
        </w:rPr>
        <w:t xml:space="preserve">the critical date is either March 29 2019, unless the UK and the EU27 unanimously extend this period, or the date of the entry into force of the withdrawal agreement. </w:t>
      </w:r>
    </w:p>
    <w:p w:rsidR="00B220EB" w:rsidRDefault="0084763D" w:rsidP="00C212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there is an important temporal caveat.</w:t>
      </w:r>
      <w:r w:rsidR="00B220EB">
        <w:rPr>
          <w:rFonts w:ascii="Times New Roman" w:hAnsi="Times New Roman" w:cs="Times New Roman"/>
          <w:sz w:val="24"/>
          <w:szCs w:val="24"/>
          <w:lang w:val="en-US"/>
        </w:rPr>
        <w:t xml:space="preserve"> </w:t>
      </w:r>
      <w:r w:rsidR="0051067B">
        <w:rPr>
          <w:rFonts w:ascii="Times New Roman" w:hAnsi="Times New Roman" w:cs="Times New Roman"/>
          <w:sz w:val="24"/>
          <w:szCs w:val="24"/>
          <w:lang w:val="en-US"/>
        </w:rPr>
        <w:t xml:space="preserve">Neither Article 259 TFEU (infringement proceedings) nor Article 267 TFEU (preliminary rulings) contain any temporal limitation. Article </w:t>
      </w:r>
      <w:r w:rsidR="0051067B">
        <w:rPr>
          <w:rFonts w:ascii="Times New Roman" w:hAnsi="Times New Roman" w:cs="Times New Roman"/>
          <w:sz w:val="24"/>
          <w:szCs w:val="24"/>
          <w:lang w:val="en-US"/>
        </w:rPr>
        <w:lastRenderedPageBreak/>
        <w:t xml:space="preserve">259 TFEU merely refers to </w:t>
      </w:r>
      <w:r w:rsidR="00FC6121">
        <w:rPr>
          <w:rFonts w:ascii="Times New Roman" w:hAnsi="Times New Roman" w:cs="Times New Roman"/>
          <w:sz w:val="24"/>
          <w:szCs w:val="24"/>
          <w:lang w:val="en-US"/>
        </w:rPr>
        <w:t xml:space="preserve">a situation in which </w:t>
      </w:r>
      <w:r w:rsidR="0051067B">
        <w:rPr>
          <w:rFonts w:ascii="Times New Roman" w:hAnsi="Times New Roman" w:cs="Times New Roman"/>
          <w:sz w:val="24"/>
          <w:szCs w:val="24"/>
          <w:lang w:val="en-US"/>
        </w:rPr>
        <w:t>“another Member State has failed to fulfil an obligation under the Treaties”, and Article 267 TFEU refers to “the interpretation of Treaties”.</w:t>
      </w:r>
    </w:p>
    <w:p w:rsidR="00F043F4" w:rsidRDefault="00CF6B51" w:rsidP="003A6678">
      <w:pPr>
        <w:spacing w:line="360" w:lineRule="auto"/>
        <w:jc w:val="both"/>
      </w:pPr>
      <w:r>
        <w:rPr>
          <w:rFonts w:ascii="Times New Roman" w:hAnsi="Times New Roman" w:cs="Times New Roman"/>
          <w:sz w:val="24"/>
          <w:szCs w:val="24"/>
          <w:lang w:val="en-US"/>
        </w:rPr>
        <w:t xml:space="preserve">First, the CJEU could </w:t>
      </w:r>
      <w:r w:rsidR="00E3264E">
        <w:rPr>
          <w:rFonts w:ascii="Times New Roman" w:hAnsi="Times New Roman" w:cs="Times New Roman"/>
          <w:sz w:val="24"/>
          <w:szCs w:val="24"/>
          <w:lang w:val="en-US"/>
        </w:rPr>
        <w:t xml:space="preserve">be requested to </w:t>
      </w:r>
      <w:r>
        <w:rPr>
          <w:rFonts w:ascii="Times New Roman" w:hAnsi="Times New Roman" w:cs="Times New Roman"/>
          <w:sz w:val="24"/>
          <w:szCs w:val="24"/>
          <w:lang w:val="en-US"/>
        </w:rPr>
        <w:t xml:space="preserve">give a preliminary ruling on the UK’s financial liability prior to the critical date. Second, with respect to infringements proceedings, the central question is whether the UK “has failed to fulfil an obligation under the Treaties”. Arguably, </w:t>
      </w:r>
      <w:r w:rsidR="00E3264E">
        <w:rPr>
          <w:rFonts w:ascii="Times New Roman" w:hAnsi="Times New Roman" w:cs="Times New Roman"/>
          <w:sz w:val="24"/>
          <w:szCs w:val="24"/>
          <w:lang w:val="en-US"/>
        </w:rPr>
        <w:t xml:space="preserve">a </w:t>
      </w:r>
      <w:r>
        <w:rPr>
          <w:rFonts w:ascii="Times New Roman" w:hAnsi="Times New Roman" w:cs="Times New Roman"/>
          <w:sz w:val="24"/>
          <w:szCs w:val="24"/>
          <w:lang w:val="en-US"/>
        </w:rPr>
        <w:t>dispute</w:t>
      </w:r>
      <w:r w:rsidR="00E3264E">
        <w:rPr>
          <w:rFonts w:ascii="Times New Roman" w:hAnsi="Times New Roman" w:cs="Times New Roman"/>
          <w:sz w:val="24"/>
          <w:szCs w:val="24"/>
          <w:lang w:val="en-US"/>
        </w:rPr>
        <w:t xml:space="preserve"> concerning </w:t>
      </w:r>
      <w:r>
        <w:rPr>
          <w:rFonts w:ascii="Times New Roman" w:hAnsi="Times New Roman" w:cs="Times New Roman"/>
          <w:sz w:val="24"/>
          <w:szCs w:val="24"/>
          <w:lang w:val="en-US"/>
        </w:rPr>
        <w:t>whether the UK has discharged its financial obligations arising prior to the critical date fall within the CJEU’s jurisdiction un</w:t>
      </w:r>
      <w:r w:rsidR="00E3264E">
        <w:rPr>
          <w:rFonts w:ascii="Times New Roman" w:hAnsi="Times New Roman" w:cs="Times New Roman"/>
          <w:sz w:val="24"/>
          <w:szCs w:val="24"/>
          <w:lang w:val="en-US"/>
        </w:rPr>
        <w:t xml:space="preserve">der Article 259 TFEU. Moreover, the dispute on the UK’s exit bill due to its EU membership would likely </w:t>
      </w:r>
      <w:r w:rsidR="00D525CC">
        <w:rPr>
          <w:rFonts w:ascii="Times New Roman" w:hAnsi="Times New Roman" w:cs="Times New Roman"/>
          <w:sz w:val="24"/>
          <w:szCs w:val="24"/>
          <w:lang w:val="en-US"/>
        </w:rPr>
        <w:t xml:space="preserve">have </w:t>
      </w:r>
      <w:r w:rsidR="00E3264E">
        <w:rPr>
          <w:rFonts w:ascii="Times New Roman" w:hAnsi="Times New Roman" w:cs="Times New Roman"/>
          <w:sz w:val="24"/>
          <w:szCs w:val="24"/>
          <w:lang w:val="en-US"/>
        </w:rPr>
        <w:t>arise</w:t>
      </w:r>
      <w:r w:rsidR="00D525CC">
        <w:rPr>
          <w:rFonts w:ascii="Times New Roman" w:hAnsi="Times New Roman" w:cs="Times New Roman"/>
          <w:sz w:val="24"/>
          <w:szCs w:val="24"/>
          <w:lang w:val="en-US"/>
        </w:rPr>
        <w:t>n</w:t>
      </w:r>
      <w:r w:rsidR="00E3264E">
        <w:rPr>
          <w:rFonts w:ascii="Times New Roman" w:hAnsi="Times New Roman" w:cs="Times New Roman"/>
          <w:sz w:val="24"/>
          <w:szCs w:val="24"/>
          <w:lang w:val="en-US"/>
        </w:rPr>
        <w:t xml:space="preserve"> before the critical date.</w:t>
      </w:r>
    </w:p>
    <w:sectPr w:rsidR="00F043F4" w:rsidSect="00BC5D6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0B" w:rsidRDefault="003B3D0B" w:rsidP="00A15708">
      <w:pPr>
        <w:spacing w:after="0" w:line="240" w:lineRule="auto"/>
      </w:pPr>
      <w:r>
        <w:separator/>
      </w:r>
    </w:p>
  </w:endnote>
  <w:endnote w:type="continuationSeparator" w:id="0">
    <w:p w:rsidR="003B3D0B" w:rsidRDefault="003B3D0B" w:rsidP="00A15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84136397"/>
      <w:docPartObj>
        <w:docPartGallery w:val="Page Numbers (Bottom of Page)"/>
        <w:docPartUnique/>
      </w:docPartObj>
    </w:sdtPr>
    <w:sdtEndPr>
      <w:rPr>
        <w:noProof/>
      </w:rPr>
    </w:sdtEndPr>
    <w:sdtContent>
      <w:p w:rsidR="00A15708" w:rsidRPr="00A15708" w:rsidRDefault="00BC5D63">
        <w:pPr>
          <w:pStyle w:val="Footer"/>
          <w:jc w:val="center"/>
          <w:rPr>
            <w:rFonts w:ascii="Times New Roman" w:hAnsi="Times New Roman" w:cs="Times New Roman"/>
            <w:sz w:val="20"/>
            <w:szCs w:val="20"/>
          </w:rPr>
        </w:pPr>
        <w:r w:rsidRPr="00A15708">
          <w:rPr>
            <w:rFonts w:ascii="Times New Roman" w:hAnsi="Times New Roman" w:cs="Times New Roman"/>
            <w:sz w:val="20"/>
            <w:szCs w:val="20"/>
          </w:rPr>
          <w:fldChar w:fldCharType="begin"/>
        </w:r>
        <w:r w:rsidR="00A15708" w:rsidRPr="00A15708">
          <w:rPr>
            <w:rFonts w:ascii="Times New Roman" w:hAnsi="Times New Roman" w:cs="Times New Roman"/>
            <w:sz w:val="20"/>
            <w:szCs w:val="20"/>
          </w:rPr>
          <w:instrText xml:space="preserve"> PAGE   \* MERGEFORMAT </w:instrText>
        </w:r>
        <w:r w:rsidRPr="00A15708">
          <w:rPr>
            <w:rFonts w:ascii="Times New Roman" w:hAnsi="Times New Roman" w:cs="Times New Roman"/>
            <w:sz w:val="20"/>
            <w:szCs w:val="20"/>
          </w:rPr>
          <w:fldChar w:fldCharType="separate"/>
        </w:r>
        <w:r w:rsidR="000A2E7E">
          <w:rPr>
            <w:rFonts w:ascii="Times New Roman" w:hAnsi="Times New Roman" w:cs="Times New Roman"/>
            <w:noProof/>
            <w:sz w:val="20"/>
            <w:szCs w:val="20"/>
          </w:rPr>
          <w:t>5</w:t>
        </w:r>
        <w:r w:rsidRPr="00A15708">
          <w:rPr>
            <w:rFonts w:ascii="Times New Roman" w:hAnsi="Times New Roman" w:cs="Times New Roman"/>
            <w:noProof/>
            <w:sz w:val="20"/>
            <w:szCs w:val="20"/>
          </w:rPr>
          <w:fldChar w:fldCharType="end"/>
        </w:r>
      </w:p>
    </w:sdtContent>
  </w:sdt>
  <w:p w:rsidR="00A15708" w:rsidRDefault="00A15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0B" w:rsidRDefault="003B3D0B" w:rsidP="00A15708">
      <w:pPr>
        <w:spacing w:after="0" w:line="240" w:lineRule="auto"/>
      </w:pPr>
      <w:r>
        <w:separator/>
      </w:r>
    </w:p>
  </w:footnote>
  <w:footnote w:type="continuationSeparator" w:id="0">
    <w:p w:rsidR="003B3D0B" w:rsidRDefault="003B3D0B" w:rsidP="00A157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0424"/>
    <w:multiLevelType w:val="hybridMultilevel"/>
    <w:tmpl w:val="01F8D684"/>
    <w:lvl w:ilvl="0" w:tplc="15A2293A">
      <w:start w:val="1"/>
      <w:numFmt w:val="decimal"/>
      <w:lvlText w:val="%1."/>
      <w:lvlJc w:val="left"/>
      <w:pPr>
        <w:tabs>
          <w:tab w:val="num" w:pos="1080"/>
        </w:tabs>
        <w:ind w:left="1080" w:hanging="360"/>
      </w:pPr>
    </w:lvl>
    <w:lvl w:ilvl="1" w:tplc="E0A6EC9C" w:tentative="1">
      <w:start w:val="1"/>
      <w:numFmt w:val="decimal"/>
      <w:lvlText w:val="%2."/>
      <w:lvlJc w:val="left"/>
      <w:pPr>
        <w:tabs>
          <w:tab w:val="num" w:pos="1800"/>
        </w:tabs>
        <w:ind w:left="1800" w:hanging="360"/>
      </w:pPr>
    </w:lvl>
    <w:lvl w:ilvl="2" w:tplc="D8A491A8" w:tentative="1">
      <w:start w:val="1"/>
      <w:numFmt w:val="decimal"/>
      <w:lvlText w:val="%3."/>
      <w:lvlJc w:val="left"/>
      <w:pPr>
        <w:tabs>
          <w:tab w:val="num" w:pos="2520"/>
        </w:tabs>
        <w:ind w:left="2520" w:hanging="360"/>
      </w:pPr>
    </w:lvl>
    <w:lvl w:ilvl="3" w:tplc="672470F2" w:tentative="1">
      <w:start w:val="1"/>
      <w:numFmt w:val="decimal"/>
      <w:lvlText w:val="%4."/>
      <w:lvlJc w:val="left"/>
      <w:pPr>
        <w:tabs>
          <w:tab w:val="num" w:pos="3240"/>
        </w:tabs>
        <w:ind w:left="3240" w:hanging="360"/>
      </w:pPr>
    </w:lvl>
    <w:lvl w:ilvl="4" w:tplc="7AA812DC" w:tentative="1">
      <w:start w:val="1"/>
      <w:numFmt w:val="decimal"/>
      <w:lvlText w:val="%5."/>
      <w:lvlJc w:val="left"/>
      <w:pPr>
        <w:tabs>
          <w:tab w:val="num" w:pos="3960"/>
        </w:tabs>
        <w:ind w:left="3960" w:hanging="360"/>
      </w:pPr>
    </w:lvl>
    <w:lvl w:ilvl="5" w:tplc="F3EAE464" w:tentative="1">
      <w:start w:val="1"/>
      <w:numFmt w:val="decimal"/>
      <w:lvlText w:val="%6."/>
      <w:lvlJc w:val="left"/>
      <w:pPr>
        <w:tabs>
          <w:tab w:val="num" w:pos="4680"/>
        </w:tabs>
        <w:ind w:left="4680" w:hanging="360"/>
      </w:pPr>
    </w:lvl>
    <w:lvl w:ilvl="6" w:tplc="4EAEC362" w:tentative="1">
      <w:start w:val="1"/>
      <w:numFmt w:val="decimal"/>
      <w:lvlText w:val="%7."/>
      <w:lvlJc w:val="left"/>
      <w:pPr>
        <w:tabs>
          <w:tab w:val="num" w:pos="5400"/>
        </w:tabs>
        <w:ind w:left="5400" w:hanging="360"/>
      </w:pPr>
    </w:lvl>
    <w:lvl w:ilvl="7" w:tplc="2034C3D4" w:tentative="1">
      <w:start w:val="1"/>
      <w:numFmt w:val="decimal"/>
      <w:lvlText w:val="%8."/>
      <w:lvlJc w:val="left"/>
      <w:pPr>
        <w:tabs>
          <w:tab w:val="num" w:pos="6120"/>
        </w:tabs>
        <w:ind w:left="6120" w:hanging="360"/>
      </w:pPr>
    </w:lvl>
    <w:lvl w:ilvl="8" w:tplc="2C788366" w:tentative="1">
      <w:start w:val="1"/>
      <w:numFmt w:val="decimal"/>
      <w:lvlText w:val="%9."/>
      <w:lvlJc w:val="left"/>
      <w:pPr>
        <w:tabs>
          <w:tab w:val="num" w:pos="6840"/>
        </w:tabs>
        <w:ind w:left="6840" w:hanging="360"/>
      </w:pPr>
    </w:lvl>
  </w:abstractNum>
  <w:abstractNum w:abstractNumId="1">
    <w:nsid w:val="19440910"/>
    <w:multiLevelType w:val="hybridMultilevel"/>
    <w:tmpl w:val="9392D5A4"/>
    <w:lvl w:ilvl="0" w:tplc="A6F8E18A">
      <w:start w:val="1"/>
      <w:numFmt w:val="lowerLetter"/>
      <w:lvlText w:val="(%1)"/>
      <w:lvlJc w:val="left"/>
      <w:pPr>
        <w:tabs>
          <w:tab w:val="num" w:pos="1440"/>
        </w:tabs>
        <w:ind w:left="1440" w:hanging="360"/>
      </w:pPr>
    </w:lvl>
    <w:lvl w:ilvl="1" w:tplc="FF1EDEFC" w:tentative="1">
      <w:start w:val="1"/>
      <w:numFmt w:val="lowerLetter"/>
      <w:lvlText w:val="(%2)"/>
      <w:lvlJc w:val="left"/>
      <w:pPr>
        <w:tabs>
          <w:tab w:val="num" w:pos="2160"/>
        </w:tabs>
        <w:ind w:left="2160" w:hanging="360"/>
      </w:pPr>
    </w:lvl>
    <w:lvl w:ilvl="2" w:tplc="0C4AC95C" w:tentative="1">
      <w:start w:val="1"/>
      <w:numFmt w:val="lowerLetter"/>
      <w:lvlText w:val="(%3)"/>
      <w:lvlJc w:val="left"/>
      <w:pPr>
        <w:tabs>
          <w:tab w:val="num" w:pos="2880"/>
        </w:tabs>
        <w:ind w:left="2880" w:hanging="360"/>
      </w:pPr>
    </w:lvl>
    <w:lvl w:ilvl="3" w:tplc="86783912" w:tentative="1">
      <w:start w:val="1"/>
      <w:numFmt w:val="lowerLetter"/>
      <w:lvlText w:val="(%4)"/>
      <w:lvlJc w:val="left"/>
      <w:pPr>
        <w:tabs>
          <w:tab w:val="num" w:pos="3600"/>
        </w:tabs>
        <w:ind w:left="3600" w:hanging="360"/>
      </w:pPr>
    </w:lvl>
    <w:lvl w:ilvl="4" w:tplc="D6F4062C" w:tentative="1">
      <w:start w:val="1"/>
      <w:numFmt w:val="lowerLetter"/>
      <w:lvlText w:val="(%5)"/>
      <w:lvlJc w:val="left"/>
      <w:pPr>
        <w:tabs>
          <w:tab w:val="num" w:pos="4320"/>
        </w:tabs>
        <w:ind w:left="4320" w:hanging="360"/>
      </w:pPr>
    </w:lvl>
    <w:lvl w:ilvl="5" w:tplc="097C231E" w:tentative="1">
      <w:start w:val="1"/>
      <w:numFmt w:val="lowerLetter"/>
      <w:lvlText w:val="(%6)"/>
      <w:lvlJc w:val="left"/>
      <w:pPr>
        <w:tabs>
          <w:tab w:val="num" w:pos="5040"/>
        </w:tabs>
        <w:ind w:left="5040" w:hanging="360"/>
      </w:pPr>
    </w:lvl>
    <w:lvl w:ilvl="6" w:tplc="C0B225A0" w:tentative="1">
      <w:start w:val="1"/>
      <w:numFmt w:val="lowerLetter"/>
      <w:lvlText w:val="(%7)"/>
      <w:lvlJc w:val="left"/>
      <w:pPr>
        <w:tabs>
          <w:tab w:val="num" w:pos="5760"/>
        </w:tabs>
        <w:ind w:left="5760" w:hanging="360"/>
      </w:pPr>
    </w:lvl>
    <w:lvl w:ilvl="7" w:tplc="AE3A83AC" w:tentative="1">
      <w:start w:val="1"/>
      <w:numFmt w:val="lowerLetter"/>
      <w:lvlText w:val="(%8)"/>
      <w:lvlJc w:val="left"/>
      <w:pPr>
        <w:tabs>
          <w:tab w:val="num" w:pos="6480"/>
        </w:tabs>
        <w:ind w:left="6480" w:hanging="360"/>
      </w:pPr>
    </w:lvl>
    <w:lvl w:ilvl="8" w:tplc="E9F29AA4" w:tentative="1">
      <w:start w:val="1"/>
      <w:numFmt w:val="lowerLetter"/>
      <w:lvlText w:val="(%9)"/>
      <w:lvlJc w:val="left"/>
      <w:pPr>
        <w:tabs>
          <w:tab w:val="num" w:pos="7200"/>
        </w:tabs>
        <w:ind w:left="7200" w:hanging="360"/>
      </w:pPr>
    </w:lvl>
  </w:abstractNum>
  <w:abstractNum w:abstractNumId="2">
    <w:nsid w:val="5D82166D"/>
    <w:multiLevelType w:val="hybridMultilevel"/>
    <w:tmpl w:val="5B9CE04A"/>
    <w:lvl w:ilvl="0" w:tplc="E92E4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BB5A61"/>
    <w:multiLevelType w:val="hybridMultilevel"/>
    <w:tmpl w:val="FB1C1BE6"/>
    <w:lvl w:ilvl="0" w:tplc="B0648844">
      <w:start w:val="1"/>
      <w:numFmt w:val="bullet"/>
      <w:lvlText w:val="•"/>
      <w:lvlJc w:val="left"/>
      <w:pPr>
        <w:tabs>
          <w:tab w:val="num" w:pos="720"/>
        </w:tabs>
        <w:ind w:left="720" w:hanging="360"/>
      </w:pPr>
      <w:rPr>
        <w:rFonts w:ascii="Arial" w:hAnsi="Arial" w:hint="default"/>
      </w:rPr>
    </w:lvl>
    <w:lvl w:ilvl="1" w:tplc="3112100A" w:tentative="1">
      <w:start w:val="1"/>
      <w:numFmt w:val="bullet"/>
      <w:lvlText w:val="•"/>
      <w:lvlJc w:val="left"/>
      <w:pPr>
        <w:tabs>
          <w:tab w:val="num" w:pos="1440"/>
        </w:tabs>
        <w:ind w:left="1440" w:hanging="360"/>
      </w:pPr>
      <w:rPr>
        <w:rFonts w:ascii="Arial" w:hAnsi="Arial" w:hint="default"/>
      </w:rPr>
    </w:lvl>
    <w:lvl w:ilvl="2" w:tplc="99B0A1BA" w:tentative="1">
      <w:start w:val="1"/>
      <w:numFmt w:val="bullet"/>
      <w:lvlText w:val="•"/>
      <w:lvlJc w:val="left"/>
      <w:pPr>
        <w:tabs>
          <w:tab w:val="num" w:pos="2160"/>
        </w:tabs>
        <w:ind w:left="2160" w:hanging="360"/>
      </w:pPr>
      <w:rPr>
        <w:rFonts w:ascii="Arial" w:hAnsi="Arial" w:hint="default"/>
      </w:rPr>
    </w:lvl>
    <w:lvl w:ilvl="3" w:tplc="CC44FF2E" w:tentative="1">
      <w:start w:val="1"/>
      <w:numFmt w:val="bullet"/>
      <w:lvlText w:val="•"/>
      <w:lvlJc w:val="left"/>
      <w:pPr>
        <w:tabs>
          <w:tab w:val="num" w:pos="2880"/>
        </w:tabs>
        <w:ind w:left="2880" w:hanging="360"/>
      </w:pPr>
      <w:rPr>
        <w:rFonts w:ascii="Arial" w:hAnsi="Arial" w:hint="default"/>
      </w:rPr>
    </w:lvl>
    <w:lvl w:ilvl="4" w:tplc="32FE9738" w:tentative="1">
      <w:start w:val="1"/>
      <w:numFmt w:val="bullet"/>
      <w:lvlText w:val="•"/>
      <w:lvlJc w:val="left"/>
      <w:pPr>
        <w:tabs>
          <w:tab w:val="num" w:pos="3600"/>
        </w:tabs>
        <w:ind w:left="3600" w:hanging="360"/>
      </w:pPr>
      <w:rPr>
        <w:rFonts w:ascii="Arial" w:hAnsi="Arial" w:hint="default"/>
      </w:rPr>
    </w:lvl>
    <w:lvl w:ilvl="5" w:tplc="C4E2A280" w:tentative="1">
      <w:start w:val="1"/>
      <w:numFmt w:val="bullet"/>
      <w:lvlText w:val="•"/>
      <w:lvlJc w:val="left"/>
      <w:pPr>
        <w:tabs>
          <w:tab w:val="num" w:pos="4320"/>
        </w:tabs>
        <w:ind w:left="4320" w:hanging="360"/>
      </w:pPr>
      <w:rPr>
        <w:rFonts w:ascii="Arial" w:hAnsi="Arial" w:hint="default"/>
      </w:rPr>
    </w:lvl>
    <w:lvl w:ilvl="6" w:tplc="A1443762" w:tentative="1">
      <w:start w:val="1"/>
      <w:numFmt w:val="bullet"/>
      <w:lvlText w:val="•"/>
      <w:lvlJc w:val="left"/>
      <w:pPr>
        <w:tabs>
          <w:tab w:val="num" w:pos="5040"/>
        </w:tabs>
        <w:ind w:left="5040" w:hanging="360"/>
      </w:pPr>
      <w:rPr>
        <w:rFonts w:ascii="Arial" w:hAnsi="Arial" w:hint="default"/>
      </w:rPr>
    </w:lvl>
    <w:lvl w:ilvl="7" w:tplc="080C131C" w:tentative="1">
      <w:start w:val="1"/>
      <w:numFmt w:val="bullet"/>
      <w:lvlText w:val="•"/>
      <w:lvlJc w:val="left"/>
      <w:pPr>
        <w:tabs>
          <w:tab w:val="num" w:pos="5760"/>
        </w:tabs>
        <w:ind w:left="5760" w:hanging="360"/>
      </w:pPr>
      <w:rPr>
        <w:rFonts w:ascii="Arial" w:hAnsi="Arial" w:hint="default"/>
      </w:rPr>
    </w:lvl>
    <w:lvl w:ilvl="8" w:tplc="85D0150A" w:tentative="1">
      <w:start w:val="1"/>
      <w:numFmt w:val="bullet"/>
      <w:lvlText w:val="•"/>
      <w:lvlJc w:val="left"/>
      <w:pPr>
        <w:tabs>
          <w:tab w:val="num" w:pos="6480"/>
        </w:tabs>
        <w:ind w:left="6480" w:hanging="360"/>
      </w:pPr>
      <w:rPr>
        <w:rFonts w:ascii="Arial" w:hAnsi="Arial" w:hint="default"/>
      </w:rPr>
    </w:lvl>
  </w:abstractNum>
  <w:abstractNum w:abstractNumId="4">
    <w:nsid w:val="648A3B6B"/>
    <w:multiLevelType w:val="hybridMultilevel"/>
    <w:tmpl w:val="19D67C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2A50"/>
    <w:rsid w:val="00014FB9"/>
    <w:rsid w:val="000A2E7E"/>
    <w:rsid w:val="00133B95"/>
    <w:rsid w:val="001A3670"/>
    <w:rsid w:val="00266D0C"/>
    <w:rsid w:val="002A007D"/>
    <w:rsid w:val="00353AC4"/>
    <w:rsid w:val="003A6678"/>
    <w:rsid w:val="003B3D0B"/>
    <w:rsid w:val="003B6C40"/>
    <w:rsid w:val="0040468D"/>
    <w:rsid w:val="00432382"/>
    <w:rsid w:val="004915DA"/>
    <w:rsid w:val="004D07F6"/>
    <w:rsid w:val="004F1BDE"/>
    <w:rsid w:val="004F512E"/>
    <w:rsid w:val="0051067B"/>
    <w:rsid w:val="00587FAF"/>
    <w:rsid w:val="005A69BA"/>
    <w:rsid w:val="005F1B93"/>
    <w:rsid w:val="006C52EB"/>
    <w:rsid w:val="00731794"/>
    <w:rsid w:val="007617B8"/>
    <w:rsid w:val="0078106F"/>
    <w:rsid w:val="007B675F"/>
    <w:rsid w:val="007F185A"/>
    <w:rsid w:val="0084763D"/>
    <w:rsid w:val="00886B39"/>
    <w:rsid w:val="008C72CA"/>
    <w:rsid w:val="009D3997"/>
    <w:rsid w:val="009D5362"/>
    <w:rsid w:val="00A152FB"/>
    <w:rsid w:val="00A15708"/>
    <w:rsid w:val="00A9472F"/>
    <w:rsid w:val="00B220EB"/>
    <w:rsid w:val="00B55EA8"/>
    <w:rsid w:val="00B77B99"/>
    <w:rsid w:val="00B802E0"/>
    <w:rsid w:val="00BB3AFD"/>
    <w:rsid w:val="00BC5D63"/>
    <w:rsid w:val="00C15EC0"/>
    <w:rsid w:val="00C21240"/>
    <w:rsid w:val="00C72A50"/>
    <w:rsid w:val="00CC17C1"/>
    <w:rsid w:val="00CF6B51"/>
    <w:rsid w:val="00D503BD"/>
    <w:rsid w:val="00D525CC"/>
    <w:rsid w:val="00D75779"/>
    <w:rsid w:val="00DF488F"/>
    <w:rsid w:val="00DF689B"/>
    <w:rsid w:val="00E3264E"/>
    <w:rsid w:val="00E75504"/>
    <w:rsid w:val="00F00012"/>
    <w:rsid w:val="00F043F4"/>
    <w:rsid w:val="00FC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D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AFD"/>
    <w:pPr>
      <w:ind w:left="720"/>
      <w:contextualSpacing/>
    </w:pPr>
  </w:style>
  <w:style w:type="paragraph" w:styleId="BalloonText">
    <w:name w:val="Balloon Text"/>
    <w:basedOn w:val="Normal"/>
    <w:link w:val="BalloonTextChar"/>
    <w:uiPriority w:val="99"/>
    <w:semiHidden/>
    <w:unhideWhenUsed/>
    <w:rsid w:val="00CC1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C1"/>
    <w:rPr>
      <w:rFonts w:ascii="Segoe UI" w:hAnsi="Segoe UI" w:cs="Segoe UI"/>
      <w:sz w:val="18"/>
      <w:szCs w:val="18"/>
      <w:lang w:val="en-GB"/>
    </w:rPr>
  </w:style>
  <w:style w:type="paragraph" w:styleId="Header">
    <w:name w:val="header"/>
    <w:basedOn w:val="Normal"/>
    <w:link w:val="HeaderChar"/>
    <w:uiPriority w:val="99"/>
    <w:unhideWhenUsed/>
    <w:rsid w:val="00A15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08"/>
    <w:rPr>
      <w:lang w:val="en-GB"/>
    </w:rPr>
  </w:style>
  <w:style w:type="paragraph" w:styleId="Footer">
    <w:name w:val="footer"/>
    <w:basedOn w:val="Normal"/>
    <w:link w:val="FooterChar"/>
    <w:uiPriority w:val="99"/>
    <w:unhideWhenUsed/>
    <w:rsid w:val="00A15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08"/>
    <w:rPr>
      <w:lang w:val="en-GB"/>
    </w:rPr>
  </w:style>
</w:styles>
</file>

<file path=word/webSettings.xml><?xml version="1.0" encoding="utf-8"?>
<w:webSettings xmlns:r="http://schemas.openxmlformats.org/officeDocument/2006/relationships" xmlns:w="http://schemas.openxmlformats.org/wordprocessingml/2006/main">
  <w:divs>
    <w:div w:id="841353392">
      <w:bodyDiv w:val="1"/>
      <w:marLeft w:val="0"/>
      <w:marRight w:val="0"/>
      <w:marTop w:val="0"/>
      <w:marBottom w:val="0"/>
      <w:divBdr>
        <w:top w:val="none" w:sz="0" w:space="0" w:color="auto"/>
        <w:left w:val="none" w:sz="0" w:space="0" w:color="auto"/>
        <w:bottom w:val="none" w:sz="0" w:space="0" w:color="auto"/>
        <w:right w:val="none" w:sz="0" w:space="0" w:color="auto"/>
      </w:divBdr>
      <w:divsChild>
        <w:div w:id="780497699">
          <w:marLeft w:val="547"/>
          <w:marRight w:val="0"/>
          <w:marTop w:val="0"/>
          <w:marBottom w:val="0"/>
          <w:divBdr>
            <w:top w:val="none" w:sz="0" w:space="0" w:color="auto"/>
            <w:left w:val="none" w:sz="0" w:space="0" w:color="auto"/>
            <w:bottom w:val="none" w:sz="0" w:space="0" w:color="auto"/>
            <w:right w:val="none" w:sz="0" w:space="0" w:color="auto"/>
          </w:divBdr>
        </w:div>
      </w:divsChild>
    </w:div>
    <w:div w:id="1223177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9540">
          <w:marLeft w:val="806"/>
          <w:marRight w:val="0"/>
          <w:marTop w:val="134"/>
          <w:marBottom w:val="0"/>
          <w:divBdr>
            <w:top w:val="none" w:sz="0" w:space="0" w:color="auto"/>
            <w:left w:val="none" w:sz="0" w:space="0" w:color="auto"/>
            <w:bottom w:val="none" w:sz="0" w:space="0" w:color="auto"/>
            <w:right w:val="none" w:sz="0" w:space="0" w:color="auto"/>
          </w:divBdr>
        </w:div>
        <w:div w:id="743795985">
          <w:marLeft w:val="806"/>
          <w:marRight w:val="0"/>
          <w:marTop w:val="134"/>
          <w:marBottom w:val="0"/>
          <w:divBdr>
            <w:top w:val="none" w:sz="0" w:space="0" w:color="auto"/>
            <w:left w:val="none" w:sz="0" w:space="0" w:color="auto"/>
            <w:bottom w:val="none" w:sz="0" w:space="0" w:color="auto"/>
            <w:right w:val="none" w:sz="0" w:space="0" w:color="auto"/>
          </w:divBdr>
        </w:div>
      </w:divsChild>
    </w:div>
    <w:div w:id="1388602571">
      <w:bodyDiv w:val="1"/>
      <w:marLeft w:val="0"/>
      <w:marRight w:val="0"/>
      <w:marTop w:val="0"/>
      <w:marBottom w:val="0"/>
      <w:divBdr>
        <w:top w:val="none" w:sz="0" w:space="0" w:color="auto"/>
        <w:left w:val="none" w:sz="0" w:space="0" w:color="auto"/>
        <w:bottom w:val="none" w:sz="0" w:space="0" w:color="auto"/>
        <w:right w:val="none" w:sz="0" w:space="0" w:color="auto"/>
      </w:divBdr>
      <w:divsChild>
        <w:div w:id="79294141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Waibel</dc:creator>
  <cp:lastModifiedBy>wagstaffr</cp:lastModifiedBy>
  <cp:revision>2</cp:revision>
  <cp:lastPrinted>2017-03-29T11:04:00Z</cp:lastPrinted>
  <dcterms:created xsi:type="dcterms:W3CDTF">2017-03-31T07:16:00Z</dcterms:created>
  <dcterms:modified xsi:type="dcterms:W3CDTF">2017-03-31T07:16:00Z</dcterms:modified>
</cp:coreProperties>
</file>